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934D" w14:textId="77777777" w:rsidR="00F61EF1" w:rsidRPr="00771854" w:rsidRDefault="00F61EF1" w:rsidP="00771854">
      <w:pPr>
        <w:pStyle w:val="Cmsor1"/>
        <w:pBdr>
          <w:bottom w:val="thinThickSmallGap" w:sz="12" w:space="0" w:color="4DBFF1"/>
        </w:pBdr>
        <w:spacing w:before="0" w:after="0"/>
        <w:ind w:left="284"/>
        <w:rPr>
          <w:rFonts w:ascii="Times New Roman" w:hAnsi="Times New Roman"/>
          <w:color w:val="auto"/>
        </w:rPr>
      </w:pPr>
      <w:r w:rsidRPr="00771854">
        <w:rPr>
          <w:rFonts w:ascii="Times New Roman" w:hAnsi="Times New Roman"/>
          <w:noProof/>
          <w:color w:val="auto"/>
          <w:lang w:eastAsia="hu-HU"/>
        </w:rPr>
        <w:drawing>
          <wp:inline distT="0" distB="0" distL="0" distR="0" wp14:anchorId="29C97AE7" wp14:editId="317CC902">
            <wp:extent cx="18288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371475"/>
                    </a:xfrm>
                    <a:prstGeom prst="rect">
                      <a:avLst/>
                    </a:prstGeom>
                    <a:noFill/>
                    <a:ln>
                      <a:noFill/>
                    </a:ln>
                  </pic:spPr>
                </pic:pic>
              </a:graphicData>
            </a:graphic>
          </wp:inline>
        </w:drawing>
      </w:r>
    </w:p>
    <w:p w14:paraId="64B2CFFB" w14:textId="77777777" w:rsidR="00F61EF1" w:rsidRPr="00771854" w:rsidRDefault="00F61EF1" w:rsidP="00771854">
      <w:pPr>
        <w:pStyle w:val="Cmsor1"/>
        <w:pBdr>
          <w:bottom w:val="thinThickSmallGap" w:sz="12" w:space="0" w:color="4DBFF1"/>
        </w:pBdr>
        <w:spacing w:before="0" w:after="0"/>
        <w:ind w:left="284"/>
        <w:rPr>
          <w:rFonts w:ascii="Times New Roman" w:hAnsi="Times New Roman"/>
          <w:color w:val="auto"/>
        </w:rPr>
      </w:pPr>
      <w:r w:rsidRPr="00771854">
        <w:rPr>
          <w:rFonts w:ascii="Times New Roman" w:hAnsi="Times New Roman"/>
          <w:color w:val="auto"/>
        </w:rPr>
        <w:t xml:space="preserve">KIEMELT információkat tartalmazó dokumentum </w:t>
      </w:r>
    </w:p>
    <w:p w14:paraId="3AE1B650" w14:textId="77777777" w:rsidR="00F61EF1" w:rsidRPr="00771854" w:rsidRDefault="00F61EF1" w:rsidP="00771854">
      <w:pPr>
        <w:pStyle w:val="Kiemeltidzet"/>
        <w:spacing w:before="0" w:after="0" w:line="240" w:lineRule="auto"/>
        <w:ind w:left="284" w:right="0"/>
        <w:rPr>
          <w:rFonts w:ascii="Times New Roman" w:hAnsi="Times New Roman"/>
          <w:b/>
          <w:sz w:val="24"/>
          <w:szCs w:val="24"/>
        </w:rPr>
      </w:pPr>
      <w:r w:rsidRPr="00771854">
        <w:rPr>
          <w:rFonts w:ascii="Times New Roman" w:hAnsi="Times New Roman"/>
          <w:b/>
          <w:sz w:val="24"/>
          <w:szCs w:val="24"/>
        </w:rPr>
        <w:t xml:space="preserve">cél </w:t>
      </w:r>
    </w:p>
    <w:p w14:paraId="001BE4A5" w14:textId="77777777" w:rsidR="00F61EF1" w:rsidRPr="00771854" w:rsidRDefault="00F61EF1" w:rsidP="00771854">
      <w:pPr>
        <w:spacing w:after="0" w:line="240" w:lineRule="auto"/>
        <w:ind w:left="284"/>
        <w:jc w:val="both"/>
        <w:rPr>
          <w:rFonts w:ascii="Times New Roman" w:hAnsi="Times New Roman"/>
          <w:iCs/>
          <w:sz w:val="18"/>
          <w:szCs w:val="18"/>
        </w:rPr>
      </w:pPr>
      <w:r w:rsidRPr="00771854">
        <w:rPr>
          <w:rFonts w:ascii="Times New Roman" w:hAnsi="Times New Roman"/>
          <w:iCs/>
          <w:sz w:val="18"/>
          <w:szCs w:val="18"/>
        </w:rPr>
        <w:t xml:space="preserve">Ez a dokumentum tájékoztatja Önt az erre a befektetési termékre vonatkozó kiemelt információkról. Ez a dokumentum nem marketinganyag. Az információközlést jogszabály írja elő azzal a céllal, hogy az Ön segítségére legyen e termék jellegének, kockázatainak, költségeinek és az azzal elérhető lehetséges nyereségnek és veszteségnek a megértésében, valamint a termék más termékekkel való összehasonlításában. </w:t>
      </w:r>
    </w:p>
    <w:p w14:paraId="491F4FA7" w14:textId="77777777" w:rsidR="00F61EF1" w:rsidRPr="00771854" w:rsidRDefault="00F61EF1" w:rsidP="00771854">
      <w:pPr>
        <w:pStyle w:val="Kiemeltidzet"/>
        <w:spacing w:before="0" w:after="0" w:line="240" w:lineRule="auto"/>
        <w:ind w:left="284" w:right="0"/>
        <w:rPr>
          <w:rFonts w:ascii="Times New Roman" w:hAnsi="Times New Roman"/>
          <w:b/>
          <w:sz w:val="24"/>
          <w:szCs w:val="24"/>
        </w:rPr>
      </w:pPr>
      <w:r w:rsidRPr="00771854">
        <w:rPr>
          <w:rFonts w:ascii="Times New Roman" w:hAnsi="Times New Roman"/>
          <w:b/>
          <w:sz w:val="24"/>
          <w:szCs w:val="24"/>
        </w:rPr>
        <w:t xml:space="preserve">termék </w:t>
      </w:r>
    </w:p>
    <w:p w14:paraId="513F9EF9" w14:textId="77777777" w:rsidR="00F61EF1" w:rsidRPr="00771854" w:rsidRDefault="00F61EF1" w:rsidP="00771854">
      <w:pPr>
        <w:pStyle w:val="Default"/>
        <w:ind w:left="284"/>
        <w:jc w:val="both"/>
        <w:rPr>
          <w:rFonts w:ascii="Times New Roman" w:hAnsi="Times New Roman" w:cs="Times New Roman"/>
          <w:color w:val="auto"/>
          <w:sz w:val="18"/>
          <w:szCs w:val="18"/>
        </w:rPr>
      </w:pPr>
      <w:r w:rsidRPr="00771854">
        <w:rPr>
          <w:rFonts w:ascii="Times New Roman" w:hAnsi="Times New Roman" w:cs="Times New Roman"/>
          <w:sz w:val="18"/>
          <w:szCs w:val="18"/>
          <w:u w:val="single"/>
        </w:rPr>
        <w:t>A termék elnevezése</w:t>
      </w:r>
      <w:r w:rsidRPr="00771854">
        <w:rPr>
          <w:rFonts w:ascii="Times New Roman" w:hAnsi="Times New Roman" w:cs="Times New Roman"/>
          <w:sz w:val="18"/>
          <w:szCs w:val="18"/>
        </w:rPr>
        <w:t>:</w:t>
      </w:r>
      <w:r w:rsidRPr="00771854">
        <w:rPr>
          <w:rFonts w:ascii="Times New Roman" w:hAnsi="Times New Roman" w:cs="Times New Roman"/>
          <w:b/>
          <w:sz w:val="18"/>
          <w:szCs w:val="18"/>
        </w:rPr>
        <w:t xml:space="preserve"> </w:t>
      </w:r>
      <w:r w:rsidRPr="00771854">
        <w:rPr>
          <w:rFonts w:ascii="Times New Roman" w:hAnsi="Times New Roman" w:cs="Times New Roman"/>
          <w:b/>
          <w:noProof/>
          <w:sz w:val="18"/>
          <w:szCs w:val="18"/>
        </w:rPr>
        <w:t>Artemisz Kötvény Származtatott Részalap</w:t>
      </w:r>
      <w:r w:rsidRPr="00771854">
        <w:rPr>
          <w:rFonts w:ascii="Times New Roman" w:hAnsi="Times New Roman" w:cs="Times New Roman"/>
          <w:b/>
          <w:sz w:val="18"/>
          <w:szCs w:val="18"/>
        </w:rPr>
        <w:t xml:space="preserve"> </w:t>
      </w:r>
      <w:r w:rsidRPr="00771854">
        <w:rPr>
          <w:rFonts w:ascii="Times New Roman" w:hAnsi="Times New Roman" w:cs="Times New Roman"/>
          <w:sz w:val="18"/>
          <w:szCs w:val="18"/>
        </w:rPr>
        <w:t>(</w:t>
      </w:r>
      <w:r w:rsidRPr="00771854">
        <w:rPr>
          <w:rFonts w:ascii="Times New Roman" w:hAnsi="Times New Roman" w:cs="Times New Roman"/>
          <w:noProof/>
          <w:sz w:val="18"/>
          <w:szCs w:val="18"/>
        </w:rPr>
        <w:t>„A” sorozat</w:t>
      </w:r>
      <w:r w:rsidRPr="00771854">
        <w:rPr>
          <w:rFonts w:ascii="Times New Roman" w:hAnsi="Times New Roman" w:cs="Times New Roman"/>
          <w:sz w:val="18"/>
          <w:szCs w:val="18"/>
        </w:rPr>
        <w:t xml:space="preserve">, </w:t>
      </w:r>
      <w:r w:rsidRPr="00771854">
        <w:rPr>
          <w:rFonts w:ascii="Times New Roman" w:hAnsi="Times New Roman" w:cs="Times New Roman"/>
          <w:color w:val="auto"/>
          <w:sz w:val="18"/>
          <w:szCs w:val="18"/>
        </w:rPr>
        <w:t xml:space="preserve">ISIN: </w:t>
      </w:r>
      <w:r w:rsidRPr="00771854">
        <w:rPr>
          <w:rFonts w:ascii="Times New Roman" w:hAnsi="Times New Roman" w:cs="Times New Roman"/>
          <w:noProof/>
          <w:sz w:val="18"/>
          <w:szCs w:val="18"/>
        </w:rPr>
        <w:t>HU0000733639</w:t>
      </w:r>
      <w:r w:rsidRPr="00771854">
        <w:rPr>
          <w:rFonts w:ascii="Times New Roman" w:hAnsi="Times New Roman" w:cs="Times New Roman"/>
          <w:color w:val="auto"/>
          <w:sz w:val="18"/>
          <w:szCs w:val="18"/>
        </w:rPr>
        <w:t xml:space="preserve">, lajstromszáma: </w:t>
      </w:r>
      <w:r w:rsidRPr="00771854">
        <w:rPr>
          <w:rFonts w:ascii="Times New Roman" w:hAnsi="Times New Roman" w:cs="Times New Roman"/>
          <w:noProof/>
          <w:sz w:val="18"/>
          <w:szCs w:val="18"/>
        </w:rPr>
        <w:t>[Az Alap nyilvántartásba vételét követően az Alapkezelő által kitöltendő.]</w:t>
      </w:r>
      <w:r w:rsidRPr="00771854">
        <w:rPr>
          <w:rFonts w:ascii="Times New Roman" w:hAnsi="Times New Roman" w:cs="Times New Roman"/>
          <w:color w:val="auto"/>
          <w:sz w:val="18"/>
          <w:szCs w:val="18"/>
        </w:rPr>
        <w:t xml:space="preserve">, jogalany-azonosítója (LEI): </w:t>
      </w:r>
      <w:r w:rsidRPr="00771854">
        <w:rPr>
          <w:rFonts w:ascii="Times New Roman" w:hAnsi="Times New Roman" w:cs="Times New Roman"/>
          <w:noProof/>
          <w:sz w:val="18"/>
          <w:szCs w:val="18"/>
        </w:rPr>
        <w:t>[Az Alap nyilvántartásba vételét követően az Alapkezelő által kitöltendő.]</w:t>
      </w:r>
      <w:r w:rsidRPr="00771854">
        <w:rPr>
          <w:rFonts w:ascii="Times New Roman" w:hAnsi="Times New Roman" w:cs="Times New Roman"/>
          <w:color w:val="auto"/>
          <w:sz w:val="18"/>
          <w:szCs w:val="18"/>
        </w:rPr>
        <w:t xml:space="preserve">) </w:t>
      </w:r>
    </w:p>
    <w:p w14:paraId="10C28E80" w14:textId="77777777" w:rsidR="00F61EF1" w:rsidRPr="00771854" w:rsidRDefault="00F61EF1" w:rsidP="00771854">
      <w:pPr>
        <w:spacing w:after="0" w:line="240" w:lineRule="auto"/>
        <w:ind w:left="284"/>
        <w:jc w:val="both"/>
        <w:rPr>
          <w:rFonts w:ascii="Times New Roman" w:hAnsi="Times New Roman"/>
          <w:iCs/>
          <w:sz w:val="18"/>
          <w:szCs w:val="18"/>
        </w:rPr>
      </w:pPr>
      <w:r w:rsidRPr="00771854">
        <w:rPr>
          <w:rFonts w:ascii="Times New Roman" w:hAnsi="Times New Roman"/>
          <w:iCs/>
          <w:sz w:val="18"/>
          <w:szCs w:val="18"/>
          <w:u w:val="single"/>
        </w:rPr>
        <w:t>A termék előállítója:</w:t>
      </w:r>
      <w:r w:rsidRPr="00771854">
        <w:rPr>
          <w:rFonts w:ascii="Times New Roman" w:hAnsi="Times New Roman"/>
          <w:iCs/>
          <w:sz w:val="18"/>
          <w:szCs w:val="18"/>
        </w:rPr>
        <w:t xml:space="preserve"> EQUILOR Alapkezelő Zrt.; székhelye: 1026 Budapest, Pasaréti út 122-124.; telefonszáma: +36 1 808 9250; honlapja: </w:t>
      </w:r>
      <w:hyperlink r:id="rId8" w:history="1">
        <w:r w:rsidRPr="00771854">
          <w:rPr>
            <w:rFonts w:ascii="Times New Roman" w:hAnsi="Times New Roman"/>
            <w:iCs/>
            <w:sz w:val="18"/>
            <w:szCs w:val="18"/>
          </w:rPr>
          <w:t>www.eqa.hu</w:t>
        </w:r>
      </w:hyperlink>
      <w:r w:rsidRPr="00771854">
        <w:rPr>
          <w:rFonts w:ascii="Times New Roman" w:hAnsi="Times New Roman"/>
          <w:iCs/>
          <w:sz w:val="18"/>
          <w:szCs w:val="18"/>
        </w:rPr>
        <w:t xml:space="preserve"> </w:t>
      </w:r>
    </w:p>
    <w:p w14:paraId="12E18863" w14:textId="77777777" w:rsidR="00F61EF1" w:rsidRPr="00771854" w:rsidRDefault="00F61EF1" w:rsidP="00771854">
      <w:pPr>
        <w:spacing w:after="0" w:line="240" w:lineRule="auto"/>
        <w:ind w:left="2124" w:hanging="1840"/>
        <w:jc w:val="both"/>
        <w:rPr>
          <w:rFonts w:ascii="Times New Roman" w:hAnsi="Times New Roman"/>
          <w:sz w:val="18"/>
          <w:szCs w:val="18"/>
        </w:rPr>
      </w:pPr>
      <w:r w:rsidRPr="00771854">
        <w:rPr>
          <w:rFonts w:ascii="Times New Roman" w:hAnsi="Times New Roman"/>
          <w:sz w:val="18"/>
          <w:szCs w:val="18"/>
          <w:u w:val="single"/>
        </w:rPr>
        <w:t>Az előállító illetékes hatósága</w:t>
      </w:r>
      <w:r w:rsidRPr="00771854">
        <w:rPr>
          <w:rFonts w:ascii="Times New Roman" w:hAnsi="Times New Roman"/>
          <w:sz w:val="18"/>
          <w:szCs w:val="18"/>
        </w:rPr>
        <w:t xml:space="preserve">: Magyar Nemzeti Bank </w:t>
      </w:r>
    </w:p>
    <w:p w14:paraId="713A072B" w14:textId="77777777" w:rsidR="00F61EF1" w:rsidRPr="00771854" w:rsidRDefault="00F61EF1" w:rsidP="00771854">
      <w:pPr>
        <w:spacing w:after="0" w:line="240" w:lineRule="auto"/>
        <w:ind w:left="2124" w:hanging="1840"/>
        <w:jc w:val="both"/>
        <w:rPr>
          <w:rFonts w:ascii="Times New Roman" w:hAnsi="Times New Roman"/>
          <w:sz w:val="18"/>
          <w:szCs w:val="18"/>
        </w:rPr>
      </w:pPr>
      <w:r w:rsidRPr="00771854">
        <w:rPr>
          <w:rFonts w:ascii="Times New Roman" w:hAnsi="Times New Roman"/>
          <w:sz w:val="18"/>
          <w:szCs w:val="18"/>
          <w:u w:val="single"/>
        </w:rPr>
        <w:t>A dokumentum kelte:</w:t>
      </w:r>
      <w:r w:rsidRPr="00771854">
        <w:rPr>
          <w:rFonts w:ascii="Times New Roman" w:hAnsi="Times New Roman"/>
          <w:sz w:val="18"/>
          <w:szCs w:val="18"/>
        </w:rPr>
        <w:t xml:space="preserve"> Budapest, 2023.09.18. </w:t>
      </w:r>
      <w:r w:rsidRPr="00771854">
        <w:rPr>
          <w:rFonts w:ascii="Times New Roman" w:hAnsi="Times New Roman"/>
          <w:sz w:val="18"/>
          <w:szCs w:val="18"/>
        </w:rPr>
        <w:tab/>
      </w:r>
      <w:r w:rsidRPr="00771854">
        <w:rPr>
          <w:rFonts w:ascii="Times New Roman" w:hAnsi="Times New Roman"/>
          <w:sz w:val="18"/>
          <w:szCs w:val="18"/>
        </w:rPr>
        <w:tab/>
      </w:r>
      <w:r w:rsidRPr="00771854">
        <w:rPr>
          <w:rFonts w:ascii="Times New Roman" w:hAnsi="Times New Roman"/>
          <w:sz w:val="18"/>
          <w:szCs w:val="18"/>
          <w:u w:val="single"/>
        </w:rPr>
        <w:t>Utolsó módosítás időpontja:</w:t>
      </w:r>
      <w:r w:rsidRPr="00771854">
        <w:rPr>
          <w:rFonts w:ascii="Times New Roman" w:hAnsi="Times New Roman"/>
          <w:sz w:val="18"/>
          <w:szCs w:val="18"/>
        </w:rPr>
        <w:t xml:space="preserve"> - </w:t>
      </w:r>
    </w:p>
    <w:p w14:paraId="5A31E838" w14:textId="77777777" w:rsidR="00F61EF1" w:rsidRPr="00771854" w:rsidRDefault="00F61EF1" w:rsidP="00771854">
      <w:pPr>
        <w:spacing w:after="0" w:line="240" w:lineRule="auto"/>
        <w:ind w:left="2124" w:hanging="1840"/>
        <w:jc w:val="both"/>
        <w:rPr>
          <w:rFonts w:ascii="Times New Roman" w:hAnsi="Times New Roman"/>
          <w:b/>
          <w:bCs/>
          <w:i/>
          <w:sz w:val="18"/>
          <w:szCs w:val="18"/>
        </w:rPr>
      </w:pPr>
      <w:r w:rsidRPr="00771854">
        <w:rPr>
          <w:rFonts w:ascii="Times New Roman" w:hAnsi="Times New Roman"/>
          <w:b/>
          <w:bCs/>
          <w:i/>
          <w:sz w:val="18"/>
          <w:szCs w:val="18"/>
        </w:rPr>
        <w:t>Ön olyan terméket készül megvenni, amely összetett és megértése nehéz lehet.</w:t>
      </w:r>
    </w:p>
    <w:p w14:paraId="47A67FE3" w14:textId="77777777" w:rsidR="00F61EF1" w:rsidRPr="00771854" w:rsidRDefault="00F61EF1" w:rsidP="00771854">
      <w:pPr>
        <w:spacing w:after="0"/>
        <w:ind w:left="-426"/>
        <w:jc w:val="both"/>
        <w:rPr>
          <w:rFonts w:ascii="Times New Roman" w:hAnsi="Times New Roman"/>
          <w:b/>
          <w:bCs/>
          <w:caps/>
          <w:sz w:val="20"/>
          <w:szCs w:val="20"/>
        </w:rPr>
        <w:sectPr w:rsidR="00F61EF1" w:rsidRPr="00771854" w:rsidSect="00F61EF1">
          <w:pgSz w:w="11906" w:h="16838"/>
          <w:pgMar w:top="720" w:right="720" w:bottom="567" w:left="720" w:header="397" w:footer="397" w:gutter="0"/>
          <w:pgNumType w:start="1"/>
          <w:cols w:space="708"/>
          <w:docGrid w:linePitch="360"/>
        </w:sectPr>
      </w:pPr>
    </w:p>
    <w:p w14:paraId="5985159C" w14:textId="77777777" w:rsidR="00F61EF1" w:rsidRPr="00771854" w:rsidRDefault="00F61EF1" w:rsidP="00771854">
      <w:pPr>
        <w:pStyle w:val="Kiemeltidzet"/>
        <w:spacing w:before="0" w:after="0" w:line="240" w:lineRule="auto"/>
        <w:ind w:left="-426" w:right="0"/>
        <w:rPr>
          <w:rFonts w:ascii="Times New Roman" w:hAnsi="Times New Roman"/>
          <w:b/>
          <w:sz w:val="24"/>
          <w:szCs w:val="24"/>
        </w:rPr>
      </w:pPr>
      <w:r w:rsidRPr="00771854">
        <w:rPr>
          <w:rFonts w:ascii="Times New Roman" w:hAnsi="Times New Roman"/>
          <w:b/>
          <w:sz w:val="24"/>
          <w:szCs w:val="24"/>
        </w:rPr>
        <w:t xml:space="preserve">Milyen termékről van szó? </w:t>
      </w:r>
    </w:p>
    <w:p w14:paraId="619ADBF5" w14:textId="77777777" w:rsidR="00F61EF1" w:rsidRPr="00771854" w:rsidRDefault="00F61EF1" w:rsidP="00771854">
      <w:pPr>
        <w:pStyle w:val="Kiemeltidzet"/>
        <w:spacing w:before="0" w:after="0" w:line="240" w:lineRule="auto"/>
        <w:ind w:left="-426" w:right="0"/>
        <w:rPr>
          <w:rFonts w:ascii="Times New Roman" w:hAnsi="Times New Roman"/>
          <w:b/>
          <w:sz w:val="24"/>
          <w:szCs w:val="24"/>
        </w:rPr>
        <w:sectPr w:rsidR="00F61EF1" w:rsidRPr="00771854" w:rsidSect="005C0E87">
          <w:type w:val="continuous"/>
          <w:pgSz w:w="11906" w:h="16838"/>
          <w:pgMar w:top="1417" w:right="991" w:bottom="1417" w:left="1417" w:header="708" w:footer="708" w:gutter="0"/>
          <w:cols w:space="708"/>
          <w:rtlGutter/>
          <w:docGrid w:linePitch="360"/>
        </w:sectPr>
      </w:pPr>
    </w:p>
    <w:p w14:paraId="0CF5417D" w14:textId="77777777" w:rsidR="00F61EF1" w:rsidRPr="00771854" w:rsidRDefault="00F61EF1" w:rsidP="00771854">
      <w:pPr>
        <w:spacing w:after="60" w:line="240" w:lineRule="auto"/>
        <w:jc w:val="both"/>
        <w:rPr>
          <w:rFonts w:ascii="Times New Roman" w:hAnsi="Times New Roman"/>
          <w:iCs/>
          <w:sz w:val="18"/>
          <w:szCs w:val="18"/>
        </w:rPr>
      </w:pPr>
      <w:r w:rsidRPr="00771854">
        <w:rPr>
          <w:rFonts w:ascii="Times New Roman" w:hAnsi="Times New Roman"/>
          <w:iCs/>
          <w:sz w:val="18"/>
          <w:szCs w:val="18"/>
          <w:u w:val="single"/>
        </w:rPr>
        <w:t>Típus</w:t>
      </w:r>
      <w:r w:rsidRPr="00771854">
        <w:rPr>
          <w:rFonts w:ascii="Times New Roman" w:hAnsi="Times New Roman"/>
          <w:iCs/>
          <w:sz w:val="18"/>
          <w:szCs w:val="18"/>
        </w:rPr>
        <w:t xml:space="preserve">: </w:t>
      </w:r>
      <w:r w:rsidRPr="00771854">
        <w:rPr>
          <w:rFonts w:ascii="Times New Roman" w:hAnsi="Times New Roman"/>
          <w:sz w:val="18"/>
          <w:szCs w:val="18"/>
        </w:rPr>
        <w:t xml:space="preserve">Az </w:t>
      </w:r>
      <w:r w:rsidRPr="00771854">
        <w:rPr>
          <w:rFonts w:ascii="Times New Roman" w:hAnsi="Times New Roman"/>
          <w:noProof/>
          <w:sz w:val="18"/>
          <w:szCs w:val="18"/>
        </w:rPr>
        <w:t>Artemisz Kötvény Származtatott Részalap</w:t>
      </w:r>
      <w:r w:rsidRPr="00771854">
        <w:rPr>
          <w:rFonts w:ascii="Times New Roman" w:hAnsi="Times New Roman"/>
          <w:sz w:val="18"/>
          <w:szCs w:val="18"/>
        </w:rPr>
        <w:t xml:space="preserve"> (Alap) </w:t>
      </w:r>
      <w:r w:rsidRPr="00771854">
        <w:rPr>
          <w:rFonts w:ascii="Times New Roman" w:hAnsi="Times New Roman"/>
          <w:iCs/>
          <w:sz w:val="18"/>
          <w:szCs w:val="18"/>
        </w:rPr>
        <w:t xml:space="preserve">nyilvános, nyílt végű, alternatív befektetési alap, amely az ABAK irányelv alapján harmonizált befektetési alap. </w:t>
      </w:r>
    </w:p>
    <w:p w14:paraId="5E74BE60" w14:textId="4A2F8D4B" w:rsidR="00F61EF1" w:rsidRPr="00771854" w:rsidRDefault="00F61EF1" w:rsidP="00771854">
      <w:pPr>
        <w:widowControl w:val="0"/>
        <w:autoSpaceDE w:val="0"/>
        <w:autoSpaceDN w:val="0"/>
        <w:adjustRightInd w:val="0"/>
        <w:spacing w:after="60" w:line="240" w:lineRule="auto"/>
        <w:jc w:val="both"/>
        <w:rPr>
          <w:rFonts w:ascii="Times New Roman" w:hAnsi="Times New Roman"/>
          <w:sz w:val="18"/>
          <w:szCs w:val="18"/>
        </w:rPr>
      </w:pPr>
      <w:r w:rsidRPr="00771854">
        <w:rPr>
          <w:rFonts w:ascii="Times New Roman" w:hAnsi="Times New Roman"/>
          <w:sz w:val="18"/>
          <w:szCs w:val="18"/>
          <w:u w:val="single"/>
        </w:rPr>
        <w:t>Célok:</w:t>
      </w:r>
      <w:r w:rsidRPr="00771854">
        <w:rPr>
          <w:rFonts w:ascii="Times New Roman" w:hAnsi="Times New Roman"/>
          <w:sz w:val="18"/>
          <w:szCs w:val="18"/>
        </w:rPr>
        <w:t xml:space="preserve"> </w:t>
      </w:r>
      <w:r w:rsidR="005A0081" w:rsidRPr="00771854">
        <w:rPr>
          <w:rFonts w:ascii="Times New Roman" w:hAnsi="Times New Roman"/>
          <w:sz w:val="18"/>
          <w:szCs w:val="18"/>
        </w:rPr>
        <w:t xml:space="preserve">Az Alap befektetéseinek célja a banki befektetésekkel és a hazai rövid állampapír befektetésekkel összehasonlításban versenyképes hozam elérése. Mindezt kötvény jellegű termékek vásárlásával kívánja elérni, kihasználva a különböző devizákban rejlő lehetőségeket. Az Alap szabad befektetési politikával, döntően kamatozó papírok vásárlásával, aktív </w:t>
      </w:r>
      <w:proofErr w:type="spellStart"/>
      <w:r w:rsidR="005A0081" w:rsidRPr="00771854">
        <w:rPr>
          <w:rFonts w:ascii="Times New Roman" w:hAnsi="Times New Roman"/>
          <w:sz w:val="18"/>
          <w:szCs w:val="18"/>
        </w:rPr>
        <w:t>duration</w:t>
      </w:r>
      <w:proofErr w:type="spellEnd"/>
      <w:r w:rsidR="005A0081" w:rsidRPr="00771854">
        <w:rPr>
          <w:rFonts w:ascii="Times New Roman" w:hAnsi="Times New Roman"/>
          <w:sz w:val="18"/>
          <w:szCs w:val="18"/>
        </w:rPr>
        <w:t xml:space="preserve"> kezeléssel szeretne a benchmark hozamot meghaladó hozamszintet elérni. Az Alapnak nincs különleges célja bármely ipari, földrajzi vagy egyéb piaci szektorral kapcsolatosan.</w:t>
      </w:r>
    </w:p>
    <w:p w14:paraId="1B5CF2B9" w14:textId="4A18C73C" w:rsidR="00F61EF1" w:rsidRPr="00771854" w:rsidRDefault="005A0081" w:rsidP="00771854">
      <w:pPr>
        <w:widowControl w:val="0"/>
        <w:autoSpaceDE w:val="0"/>
        <w:autoSpaceDN w:val="0"/>
        <w:adjustRightInd w:val="0"/>
        <w:spacing w:after="60"/>
        <w:ind w:right="1"/>
        <w:jc w:val="both"/>
        <w:rPr>
          <w:rFonts w:ascii="Times New Roman" w:hAnsi="Times New Roman"/>
          <w:sz w:val="18"/>
          <w:szCs w:val="18"/>
        </w:rPr>
      </w:pPr>
      <w:r w:rsidRPr="00771854">
        <w:rPr>
          <w:rFonts w:ascii="Times New Roman" w:hAnsi="Times New Roman"/>
          <w:sz w:val="18"/>
          <w:szCs w:val="18"/>
        </w:rPr>
        <w:t xml:space="preserve">Az Alap befektetési stratégiájának célja, hogy eszközkategóriát tekintve elsősorban kötvénytípusú befektetések megvalósításán keresztül építsen portfoliót. Pénzpiaci eszközök, forintban denominált állampapírok mellett, portfoliójának aktív részét képezzék a magyar állam, önkormányzatok és gazdasági társaságok által devizában kibocsátott kötvények, nemzetközi vállalati és államkötvények, valamennyi földrajzi szegmens és iparágat szem előtt tartva, devizák és tőzsdei alapok (ETF), valamint ezen eszközökön alapuló származtatott termékek. Az Alapkezelő a befektetési stratégiát közvetlen értékpapír befektetések és/vagy a hatékony portfoliókezelés keretében származtatott ügyleteken keresztül is megvalósíthatja. Az Alap </w:t>
      </w:r>
      <w:proofErr w:type="spellStart"/>
      <w:r w:rsidRPr="00771854">
        <w:rPr>
          <w:rFonts w:ascii="Times New Roman" w:hAnsi="Times New Roman"/>
          <w:sz w:val="18"/>
          <w:szCs w:val="18"/>
        </w:rPr>
        <w:t>repóügyleteket</w:t>
      </w:r>
      <w:proofErr w:type="spellEnd"/>
      <w:r w:rsidRPr="00771854">
        <w:rPr>
          <w:rFonts w:ascii="Times New Roman" w:hAnsi="Times New Roman"/>
          <w:sz w:val="18"/>
          <w:szCs w:val="18"/>
        </w:rPr>
        <w:t xml:space="preserve"> és értékpapír-kölcsönügyleteket is köthet. Az Alap saját tőkéjét bankbetétben és számlapénzben is tarthatja. </w:t>
      </w:r>
      <w:r w:rsidRPr="00771854">
        <w:rPr>
          <w:rFonts w:ascii="Times New Roman" w:hAnsi="Times New Roman"/>
          <w:iCs/>
          <w:sz w:val="18"/>
          <w:szCs w:val="18"/>
        </w:rPr>
        <w:t xml:space="preserve">Az Alap tőkeáttételes pozíciókat is felvehet. Minél nagyobb mértékű a tőkeáttétel, annál nagyobb kockázattal jár az ügylet. Tőkeáttétel alkalmazásával akár rövid idő alatt és kisebb piaci mozgás esetén is lehetőség van a befektetett </w:t>
      </w:r>
      <w:proofErr w:type="spellStart"/>
      <w:r w:rsidRPr="00771854">
        <w:rPr>
          <w:rFonts w:ascii="Times New Roman" w:hAnsi="Times New Roman"/>
          <w:iCs/>
          <w:sz w:val="18"/>
          <w:szCs w:val="18"/>
        </w:rPr>
        <w:t>tőkéhez</w:t>
      </w:r>
      <w:proofErr w:type="spellEnd"/>
      <w:r w:rsidRPr="00771854">
        <w:rPr>
          <w:rFonts w:ascii="Times New Roman" w:hAnsi="Times New Roman"/>
          <w:iCs/>
          <w:sz w:val="18"/>
          <w:szCs w:val="18"/>
        </w:rPr>
        <w:t xml:space="preserve"> képest jelentős nyereség, vagy veszteség realizálására. Az Alap által alkalmazható tőkeáttétel legnagyobb mértéke: 800%. Ebből eredően az Alap kockázata magasabb lehet, mint egy átlagos, tőkeáttétel nélküli kötvényalapé. </w:t>
      </w:r>
      <w:r w:rsidRPr="00771854">
        <w:rPr>
          <w:rFonts w:ascii="Times New Roman" w:hAnsi="Times New Roman"/>
          <w:sz w:val="18"/>
          <w:szCs w:val="18"/>
        </w:rPr>
        <w:t xml:space="preserve">Az Alap eseti jelleggel törekszik kihasználni a nemzetközi és hazai devizák mindenkori egymáshoz viszonyított mozgásából fakadó többlethozam elérésének lehetőségét is. Az Alap az adott leendő befektetések kapcsán engedélyezi a diszkrecionális választást, és ez a megközelítés nem foglal magában, illetve nem von maga után referenciaértékre való hivatkozást. Az Alap benchmarkja: 100% Max </w:t>
      </w:r>
      <w:proofErr w:type="spellStart"/>
      <w:r w:rsidRPr="00771854">
        <w:rPr>
          <w:rFonts w:ascii="Times New Roman" w:hAnsi="Times New Roman"/>
          <w:sz w:val="18"/>
          <w:szCs w:val="18"/>
        </w:rPr>
        <w:t>Composite</w:t>
      </w:r>
      <w:proofErr w:type="spellEnd"/>
      <w:r w:rsidRPr="00771854">
        <w:rPr>
          <w:rFonts w:ascii="Times New Roman" w:hAnsi="Times New Roman"/>
          <w:sz w:val="18"/>
          <w:szCs w:val="18"/>
        </w:rPr>
        <w:t xml:space="preserve"> Index. </w:t>
      </w:r>
    </w:p>
    <w:p w14:paraId="243FA9B1" w14:textId="33A02329" w:rsidR="00F61EF1" w:rsidRPr="00771854" w:rsidRDefault="00F61EF1" w:rsidP="00771854">
      <w:pPr>
        <w:widowControl w:val="0"/>
        <w:autoSpaceDE w:val="0"/>
        <w:autoSpaceDN w:val="0"/>
        <w:adjustRightInd w:val="0"/>
        <w:spacing w:after="60" w:line="240" w:lineRule="auto"/>
        <w:jc w:val="both"/>
        <w:rPr>
          <w:rFonts w:ascii="Times New Roman" w:hAnsi="Times New Roman"/>
          <w:sz w:val="18"/>
          <w:szCs w:val="18"/>
        </w:rPr>
      </w:pPr>
      <w:r w:rsidRPr="00771854">
        <w:rPr>
          <w:rFonts w:ascii="Times New Roman" w:hAnsi="Times New Roman"/>
          <w:sz w:val="18"/>
          <w:szCs w:val="18"/>
        </w:rPr>
        <w:t xml:space="preserve">A befektető, ha kéri, a befektetési jegyeit minden forgalmazási napon visszaválthatja, illetve az Alap befektetési jegyei minden forgalmazási napon megvásárolhatók. Az Alap </w:t>
      </w:r>
      <w:proofErr w:type="spellStart"/>
      <w:r w:rsidRPr="00771854">
        <w:rPr>
          <w:rFonts w:ascii="Times New Roman" w:hAnsi="Times New Roman"/>
          <w:sz w:val="18"/>
          <w:szCs w:val="18"/>
        </w:rPr>
        <w:t>újrabefektető</w:t>
      </w:r>
      <w:proofErr w:type="spellEnd"/>
      <w:r w:rsidRPr="00771854">
        <w:rPr>
          <w:rFonts w:ascii="Times New Roman" w:hAnsi="Times New Roman"/>
          <w:sz w:val="18"/>
          <w:szCs w:val="18"/>
        </w:rPr>
        <w:t xml:space="preserve">, minden kamat és osztalék típusú bevételt befektet, nem fizeti ki. </w:t>
      </w:r>
      <w:r w:rsidR="005A0081" w:rsidRPr="00771854">
        <w:rPr>
          <w:rFonts w:ascii="Times New Roman" w:hAnsi="Times New Roman"/>
          <w:sz w:val="18"/>
          <w:szCs w:val="18"/>
        </w:rPr>
        <w:t>A hozamot befolyásoló főbb tényezők: az Alap portfoliójában lévő eszközök piaci árának változása, az Alap által felvállalt kockázatok, valamint az Alap működési költségei. Az Alap hozamát a portfoliót alkotó eszközök hozama határozza meg. Az Alap hozamának meghatározása a 2007. évi CXXXVIII. törvény (</w:t>
      </w:r>
      <w:proofErr w:type="spellStart"/>
      <w:r w:rsidR="005A0081" w:rsidRPr="00771854">
        <w:rPr>
          <w:rFonts w:ascii="Times New Roman" w:hAnsi="Times New Roman"/>
          <w:sz w:val="18"/>
          <w:szCs w:val="18"/>
        </w:rPr>
        <w:t>Bszt</w:t>
      </w:r>
      <w:proofErr w:type="spellEnd"/>
      <w:r w:rsidR="005A0081" w:rsidRPr="00771854">
        <w:rPr>
          <w:rFonts w:ascii="Times New Roman" w:hAnsi="Times New Roman"/>
          <w:sz w:val="18"/>
          <w:szCs w:val="18"/>
        </w:rPr>
        <w:t xml:space="preserve">.) 3. mellékletében megfogalmazott elvek szerint történik. </w:t>
      </w:r>
      <w:r w:rsidRPr="00771854">
        <w:rPr>
          <w:rFonts w:ascii="Times New Roman" w:hAnsi="Times New Roman"/>
          <w:sz w:val="18"/>
          <w:szCs w:val="18"/>
        </w:rPr>
        <w:t xml:space="preserve">Az Alap határozatlan futamidejű, lejárati dátuma nincs. Az „A” sorozat devizaneme HUF. </w:t>
      </w:r>
    </w:p>
    <w:p w14:paraId="5313D506" w14:textId="77777777" w:rsidR="00F61EF1" w:rsidRPr="00771854" w:rsidRDefault="00F61EF1" w:rsidP="00771854">
      <w:pPr>
        <w:widowControl w:val="0"/>
        <w:autoSpaceDE w:val="0"/>
        <w:autoSpaceDN w:val="0"/>
        <w:adjustRightInd w:val="0"/>
        <w:spacing w:after="60" w:line="240" w:lineRule="auto"/>
        <w:jc w:val="both"/>
        <w:rPr>
          <w:rFonts w:ascii="Times New Roman" w:hAnsi="Times New Roman"/>
          <w:sz w:val="18"/>
          <w:szCs w:val="18"/>
        </w:rPr>
      </w:pPr>
      <w:r w:rsidRPr="00771854">
        <w:rPr>
          <w:rFonts w:ascii="Times New Roman" w:hAnsi="Times New Roman"/>
          <w:b/>
          <w:sz w:val="18"/>
          <w:szCs w:val="18"/>
        </w:rPr>
        <w:t>Felhívjuk a tisztelt Befektetők figyelmét arra, hogy az Alapkezelő abban az esetben is jogosult sikerdíjat felszámítani, ha az Alap felülteljesíti a referenciaindexet, de negatív volt a teljesítménye.</w:t>
      </w:r>
    </w:p>
    <w:p w14:paraId="3AE01C13" w14:textId="2171B7FC" w:rsidR="00F61EF1" w:rsidRPr="00771854" w:rsidRDefault="00F61EF1" w:rsidP="00771854">
      <w:pPr>
        <w:widowControl w:val="0"/>
        <w:autoSpaceDE w:val="0"/>
        <w:autoSpaceDN w:val="0"/>
        <w:adjustRightInd w:val="0"/>
        <w:spacing w:after="60" w:line="240" w:lineRule="auto"/>
        <w:jc w:val="both"/>
        <w:rPr>
          <w:rFonts w:ascii="Times New Roman" w:hAnsi="Times New Roman"/>
          <w:sz w:val="18"/>
          <w:szCs w:val="18"/>
        </w:rPr>
      </w:pPr>
      <w:r w:rsidRPr="00771854">
        <w:rPr>
          <w:rFonts w:ascii="Times New Roman" w:hAnsi="Times New Roman"/>
          <w:sz w:val="18"/>
          <w:szCs w:val="18"/>
          <w:u w:val="single"/>
        </w:rPr>
        <w:t>Megcélzott lakossági befektető:</w:t>
      </w:r>
      <w:r w:rsidRPr="00771854">
        <w:rPr>
          <w:rFonts w:ascii="Times New Roman" w:hAnsi="Times New Roman"/>
          <w:sz w:val="18"/>
          <w:szCs w:val="18"/>
        </w:rPr>
        <w:t xml:space="preserve"> A megcélzott lakossági befektető tájékozott befektető, akinek legalább közepes szintű ismerete van a befektetési alapok befektetési jegyibe való befektetésben, valamint a</w:t>
      </w:r>
      <w:r w:rsidR="005A0081" w:rsidRPr="00771854">
        <w:rPr>
          <w:rFonts w:ascii="Times New Roman" w:hAnsi="Times New Roman"/>
          <w:sz w:val="18"/>
          <w:szCs w:val="18"/>
        </w:rPr>
        <w:t>z</w:t>
      </w:r>
      <w:r w:rsidRPr="00771854">
        <w:rPr>
          <w:rFonts w:ascii="Times New Roman" w:hAnsi="Times New Roman"/>
          <w:sz w:val="18"/>
          <w:szCs w:val="18"/>
        </w:rPr>
        <w:t xml:space="preserve"> </w:t>
      </w:r>
      <w:r w:rsidRPr="00771854">
        <w:rPr>
          <w:rFonts w:ascii="Times New Roman" w:hAnsi="Times New Roman"/>
          <w:noProof/>
          <w:sz w:val="18"/>
          <w:szCs w:val="18"/>
        </w:rPr>
        <w:t>értékpapírpiac</w:t>
      </w:r>
      <w:r w:rsidRPr="00771854">
        <w:rPr>
          <w:rFonts w:ascii="Times New Roman" w:hAnsi="Times New Roman"/>
          <w:sz w:val="18"/>
          <w:szCs w:val="18"/>
        </w:rPr>
        <w:t xml:space="preserve"> működésében. A potenciális befektető nem várja el a tőke-vagy hozamgaranciát, illetve a tőke- vagy hozamvédelmet, továbbá képes viselni a befektetett összeg akár </w:t>
      </w:r>
      <w:r w:rsidRPr="00771854">
        <w:rPr>
          <w:rFonts w:ascii="Times New Roman" w:hAnsi="Times New Roman"/>
          <w:noProof/>
          <w:sz w:val="18"/>
          <w:szCs w:val="18"/>
        </w:rPr>
        <w:t>25</w:t>
      </w:r>
      <w:r w:rsidRPr="00771854">
        <w:rPr>
          <w:rFonts w:ascii="Times New Roman" w:hAnsi="Times New Roman"/>
          <w:sz w:val="18"/>
          <w:szCs w:val="18"/>
        </w:rPr>
        <w:t xml:space="preserve">% végleges elvesztését is. Az Alapkezelő törekszik arra, hogy a várható hozamot és kockázatokat hosszú távon optimalizálja, így az Alapot azoknak ajánljuk, akik hosszú távon kívánnak befektetni. Ajánlott befektetési időtáv: </w:t>
      </w:r>
      <w:r w:rsidRPr="00771854">
        <w:rPr>
          <w:rFonts w:ascii="Times New Roman" w:hAnsi="Times New Roman"/>
          <w:noProof/>
          <w:sz w:val="18"/>
          <w:szCs w:val="18"/>
        </w:rPr>
        <w:t>3</w:t>
      </w:r>
      <w:r w:rsidRPr="00771854">
        <w:rPr>
          <w:rFonts w:ascii="Times New Roman" w:hAnsi="Times New Roman"/>
          <w:sz w:val="18"/>
          <w:szCs w:val="18"/>
        </w:rPr>
        <w:t xml:space="preserve"> év. Ez az Alap adott esetben nem megfelelő olyan befektetők számára, akik az ajánlott befektetési időtávon belül ki akarják venni az alapból a pénzüket. </w:t>
      </w:r>
    </w:p>
    <w:p w14:paraId="42A1D706" w14:textId="77777777" w:rsidR="00F61EF1" w:rsidRPr="00771854" w:rsidRDefault="00F61EF1" w:rsidP="00771854">
      <w:pPr>
        <w:widowControl w:val="0"/>
        <w:autoSpaceDE w:val="0"/>
        <w:autoSpaceDN w:val="0"/>
        <w:adjustRightInd w:val="0"/>
        <w:spacing w:after="60" w:line="240" w:lineRule="auto"/>
        <w:jc w:val="both"/>
        <w:rPr>
          <w:rFonts w:ascii="Times New Roman" w:hAnsi="Times New Roman"/>
          <w:sz w:val="18"/>
          <w:szCs w:val="18"/>
        </w:rPr>
      </w:pPr>
      <w:r w:rsidRPr="00771854">
        <w:rPr>
          <w:rFonts w:ascii="Times New Roman" w:hAnsi="Times New Roman"/>
          <w:sz w:val="18"/>
          <w:szCs w:val="18"/>
          <w:u w:val="single"/>
        </w:rPr>
        <w:t>Az Alap megszűnése</w:t>
      </w:r>
      <w:r w:rsidRPr="00771854">
        <w:rPr>
          <w:rFonts w:ascii="Times New Roman" w:hAnsi="Times New Roman"/>
          <w:sz w:val="18"/>
          <w:szCs w:val="18"/>
        </w:rPr>
        <w:t xml:space="preserve">: Az Alappal szembeni megszűnési eljárás megindításáról az Alapkezelő vagy a Felügyelet határoz. Kötelező megindítani az eljárást, (i) ha az Alap nettó eszközértéke negatívvá vált; vagy (ii) ha az Alapkezelő befektetési alapkezelési tevékenység végzésére jogosító engedélyét a Felügyelet visszavonta; vagy (iii) ha a Felügyelet kötelezte az Alapkezelőt az Alap kezelésének átadására, azonban az Alap kezelését egyetlen befektetési Alapkezelő sem veszi át. (A (ii) és a (iii) pontja szerinti megszűnési eljárást a Letétkezelő folytatja le.) Külön határozat nélkül elindul a megszűnési eljárás, amennyiben a Befektetők az összes befektetési jegy visszaváltására irányuló visszaváltási megbízást adtak. </w:t>
      </w:r>
    </w:p>
    <w:p w14:paraId="55C2DE04" w14:textId="77777777" w:rsidR="00F61EF1" w:rsidRPr="00771854" w:rsidRDefault="00F61EF1" w:rsidP="00771854">
      <w:pPr>
        <w:widowControl w:val="0"/>
        <w:autoSpaceDE w:val="0"/>
        <w:autoSpaceDN w:val="0"/>
        <w:adjustRightInd w:val="0"/>
        <w:spacing w:after="60" w:line="240" w:lineRule="auto"/>
        <w:jc w:val="both"/>
        <w:rPr>
          <w:rFonts w:ascii="Times New Roman" w:hAnsi="Times New Roman"/>
          <w:sz w:val="18"/>
          <w:szCs w:val="18"/>
          <w:u w:val="single"/>
        </w:rPr>
      </w:pPr>
      <w:r w:rsidRPr="00771854">
        <w:rPr>
          <w:rFonts w:ascii="Times New Roman" w:hAnsi="Times New Roman"/>
          <w:sz w:val="18"/>
          <w:szCs w:val="18"/>
          <w:u w:val="single"/>
        </w:rPr>
        <w:t xml:space="preserve">Gyakorlati információk: </w:t>
      </w:r>
    </w:p>
    <w:p w14:paraId="2FCC1B51" w14:textId="77777777" w:rsidR="00F61EF1" w:rsidRPr="00771854" w:rsidRDefault="00F61EF1" w:rsidP="00771854">
      <w:pPr>
        <w:spacing w:after="0" w:line="240" w:lineRule="auto"/>
        <w:rPr>
          <w:rFonts w:ascii="Times New Roman" w:hAnsi="Times New Roman"/>
          <w:sz w:val="18"/>
          <w:szCs w:val="18"/>
        </w:rPr>
      </w:pPr>
      <w:r w:rsidRPr="00771854">
        <w:rPr>
          <w:rFonts w:ascii="Times New Roman" w:hAnsi="Times New Roman"/>
          <w:sz w:val="18"/>
          <w:szCs w:val="18"/>
        </w:rPr>
        <w:t>Az Alap letétkezelője:</w:t>
      </w:r>
      <w:r w:rsidRPr="00771854">
        <w:rPr>
          <w:rFonts w:ascii="Times New Roman" w:hAnsi="Times New Roman"/>
          <w:sz w:val="18"/>
          <w:szCs w:val="18"/>
        </w:rPr>
        <w:tab/>
      </w:r>
      <w:r w:rsidRPr="00771854">
        <w:rPr>
          <w:rFonts w:ascii="Times New Roman" w:hAnsi="Times New Roman"/>
          <w:noProof/>
          <w:sz w:val="18"/>
          <w:szCs w:val="18"/>
        </w:rPr>
        <w:t>Raiffeisen Bank Zrt.</w:t>
      </w:r>
    </w:p>
    <w:p w14:paraId="4440C06D" w14:textId="77777777" w:rsidR="00F61EF1" w:rsidRPr="00771854" w:rsidRDefault="00F61EF1" w:rsidP="00771854">
      <w:pPr>
        <w:spacing w:after="0" w:line="240" w:lineRule="auto"/>
        <w:rPr>
          <w:rFonts w:ascii="Times New Roman" w:hAnsi="Times New Roman"/>
          <w:sz w:val="18"/>
          <w:szCs w:val="18"/>
        </w:rPr>
      </w:pPr>
      <w:r w:rsidRPr="00771854">
        <w:rPr>
          <w:rFonts w:ascii="Times New Roman" w:hAnsi="Times New Roman"/>
          <w:sz w:val="18"/>
          <w:szCs w:val="18"/>
        </w:rPr>
        <w:t>Az Alap forgalmazói:</w:t>
      </w:r>
      <w:r w:rsidRPr="00771854">
        <w:rPr>
          <w:rFonts w:ascii="Times New Roman" w:hAnsi="Times New Roman"/>
          <w:sz w:val="18"/>
          <w:szCs w:val="18"/>
        </w:rPr>
        <w:tab/>
        <w:t xml:space="preserve">Vezető forgalmazó: „A” sorozat esetén: </w:t>
      </w:r>
      <w:r w:rsidRPr="00771854">
        <w:rPr>
          <w:rFonts w:ascii="Times New Roman" w:hAnsi="Times New Roman"/>
          <w:noProof/>
          <w:sz w:val="18"/>
          <w:szCs w:val="18"/>
        </w:rPr>
        <w:t>Raiffeisen Bank Zrt.</w:t>
      </w:r>
    </w:p>
    <w:p w14:paraId="0322F2D0" w14:textId="36D2C643" w:rsidR="00F61EF1" w:rsidRPr="00771854" w:rsidRDefault="00F61EF1" w:rsidP="00771854">
      <w:pPr>
        <w:spacing w:after="60" w:line="240" w:lineRule="auto"/>
        <w:ind w:left="2127"/>
        <w:rPr>
          <w:rFonts w:ascii="Times New Roman" w:hAnsi="Times New Roman"/>
          <w:sz w:val="18"/>
          <w:szCs w:val="18"/>
        </w:rPr>
      </w:pPr>
      <w:r w:rsidRPr="00771854">
        <w:rPr>
          <w:rFonts w:ascii="Times New Roman" w:hAnsi="Times New Roman"/>
          <w:sz w:val="18"/>
          <w:szCs w:val="18"/>
        </w:rPr>
        <w:t xml:space="preserve">további </w:t>
      </w:r>
      <w:proofErr w:type="spellStart"/>
      <w:proofErr w:type="gramStart"/>
      <w:r w:rsidRPr="00771854">
        <w:rPr>
          <w:rFonts w:ascii="Times New Roman" w:hAnsi="Times New Roman"/>
          <w:sz w:val="18"/>
          <w:szCs w:val="18"/>
        </w:rPr>
        <w:t>forgalmazó:„</w:t>
      </w:r>
      <w:proofErr w:type="gramEnd"/>
      <w:r w:rsidRPr="00771854">
        <w:rPr>
          <w:rFonts w:ascii="Times New Roman" w:hAnsi="Times New Roman"/>
          <w:sz w:val="18"/>
          <w:szCs w:val="18"/>
        </w:rPr>
        <w:t>A</w:t>
      </w:r>
      <w:proofErr w:type="spellEnd"/>
      <w:r w:rsidRPr="00771854">
        <w:rPr>
          <w:rFonts w:ascii="Times New Roman" w:hAnsi="Times New Roman"/>
          <w:sz w:val="18"/>
          <w:szCs w:val="18"/>
        </w:rPr>
        <w:t xml:space="preserve">” sorozat esetén: </w:t>
      </w:r>
      <w:r w:rsidRPr="00771854">
        <w:rPr>
          <w:rFonts w:ascii="Times New Roman" w:hAnsi="Times New Roman"/>
          <w:noProof/>
          <w:sz w:val="18"/>
          <w:szCs w:val="18"/>
        </w:rPr>
        <w:t>EQUILOR Befektetési Zrt.</w:t>
      </w:r>
      <w:r w:rsidRPr="00771854">
        <w:rPr>
          <w:rFonts w:ascii="Times New Roman" w:hAnsi="Times New Roman"/>
          <w:sz w:val="18"/>
          <w:szCs w:val="18"/>
        </w:rPr>
        <w:t xml:space="preserve"> </w:t>
      </w:r>
    </w:p>
    <w:p w14:paraId="6CC53D52" w14:textId="77777777" w:rsidR="00771854" w:rsidRDefault="00F61EF1" w:rsidP="00771854">
      <w:pPr>
        <w:widowControl w:val="0"/>
        <w:autoSpaceDE w:val="0"/>
        <w:autoSpaceDN w:val="0"/>
        <w:adjustRightInd w:val="0"/>
        <w:spacing w:after="0" w:line="240" w:lineRule="auto"/>
        <w:jc w:val="both"/>
        <w:rPr>
          <w:rFonts w:ascii="Times New Roman" w:hAnsi="Times New Roman"/>
          <w:sz w:val="18"/>
          <w:szCs w:val="18"/>
        </w:rPr>
      </w:pPr>
      <w:r w:rsidRPr="00771854">
        <w:rPr>
          <w:rFonts w:ascii="Times New Roman" w:hAnsi="Times New Roman"/>
          <w:sz w:val="18"/>
          <w:szCs w:val="18"/>
        </w:rPr>
        <w:t xml:space="preserve">Az Alap Tájékoztatója és Kezelési szabályzata díjmentesen elérhető magyar nyelven, papír alapon a forgalmazási helyeken, az Alapkezelő székhelyén, illetve elektronikusan az Alapkezelő honlapján és a </w:t>
      </w:r>
      <w:r w:rsidRPr="00771854">
        <w:rPr>
          <w:rFonts w:ascii="Times New Roman" w:hAnsi="Times New Roman"/>
          <w:sz w:val="18"/>
          <w:szCs w:val="18"/>
          <w:lang w:eastAsia="hu-HU"/>
        </w:rPr>
        <w:t>https://kozzetetelek.mnb.hu</w:t>
      </w:r>
      <w:r w:rsidRPr="00771854">
        <w:rPr>
          <w:rFonts w:ascii="Times New Roman" w:hAnsi="Times New Roman"/>
          <w:sz w:val="18"/>
          <w:szCs w:val="18"/>
        </w:rPr>
        <w:t xml:space="preserve"> oldalon, mely honlapok az Alap közzétételi helyei. A fenti dokumentumokon kívül az alappal kapcsolatos további információk, így a legutóbbi éves, féléves jelentés, havi portfoliójelentés, valamint hivatalos közlemények magyar nyelven térítésmentesen megtekinthetők a közzétételi helyeken. </w:t>
      </w:r>
      <w:r w:rsidR="00771854">
        <w:rPr>
          <w:rFonts w:ascii="Times New Roman" w:hAnsi="Times New Roman"/>
          <w:sz w:val="18"/>
          <w:szCs w:val="18"/>
        </w:rPr>
        <w:br w:type="page"/>
      </w:r>
    </w:p>
    <w:p w14:paraId="6EC9C78A" w14:textId="3B4F5038" w:rsidR="00F61EF1" w:rsidRPr="00771854" w:rsidRDefault="00F61EF1" w:rsidP="00771854">
      <w:pPr>
        <w:widowControl w:val="0"/>
        <w:autoSpaceDE w:val="0"/>
        <w:autoSpaceDN w:val="0"/>
        <w:adjustRightInd w:val="0"/>
        <w:spacing w:after="0" w:line="240" w:lineRule="auto"/>
        <w:jc w:val="both"/>
        <w:rPr>
          <w:rFonts w:ascii="Times New Roman" w:hAnsi="Times New Roman"/>
          <w:sz w:val="18"/>
          <w:szCs w:val="18"/>
        </w:rPr>
      </w:pPr>
      <w:r w:rsidRPr="00771854">
        <w:rPr>
          <w:rFonts w:ascii="Times New Roman" w:hAnsi="Times New Roman"/>
          <w:sz w:val="18"/>
          <w:szCs w:val="18"/>
        </w:rPr>
        <w:t>A befektetési jegyek legaktuálisabb árfolyama megtekinthető az Alapkezelő honlapján. Magyarország adójoga hatással lehet a Befektető személyes adózási helyzetére.</w:t>
      </w:r>
    </w:p>
    <w:p w14:paraId="4DF8D8E5" w14:textId="77777777" w:rsidR="00F61EF1" w:rsidRPr="00771854" w:rsidRDefault="00F61EF1" w:rsidP="00771854">
      <w:pPr>
        <w:spacing w:after="0"/>
        <w:rPr>
          <w:rFonts w:ascii="Times New Roman" w:hAnsi="Times New Roman"/>
          <w:caps/>
          <w:sz w:val="20"/>
          <w:szCs w:val="20"/>
        </w:rPr>
        <w:sectPr w:rsidR="00F61EF1" w:rsidRPr="00771854" w:rsidSect="00995504">
          <w:type w:val="continuous"/>
          <w:pgSz w:w="11906" w:h="16838"/>
          <w:pgMar w:top="680" w:right="964" w:bottom="680" w:left="964" w:header="709" w:footer="709" w:gutter="0"/>
          <w:cols w:space="708"/>
          <w:docGrid w:linePitch="360"/>
        </w:sectPr>
      </w:pPr>
    </w:p>
    <w:p w14:paraId="5EA598FD" w14:textId="77777777" w:rsidR="00F61EF1" w:rsidRPr="00771854" w:rsidRDefault="00F61EF1" w:rsidP="00771854">
      <w:pPr>
        <w:pStyle w:val="Kiemeltidzet"/>
        <w:spacing w:before="0" w:after="0" w:line="240" w:lineRule="auto"/>
        <w:ind w:left="-426" w:right="0"/>
        <w:rPr>
          <w:rFonts w:ascii="Times New Roman" w:hAnsi="Times New Roman"/>
          <w:b/>
          <w:sz w:val="24"/>
          <w:szCs w:val="24"/>
        </w:rPr>
      </w:pPr>
      <w:r w:rsidRPr="00771854">
        <w:rPr>
          <w:rFonts w:ascii="Times New Roman" w:hAnsi="Times New Roman"/>
          <w:b/>
          <w:sz w:val="24"/>
          <w:szCs w:val="24"/>
        </w:rPr>
        <w:t xml:space="preserve">milyen kockázatai vannak a terméknek, és mit kaphatok cserébe? </w:t>
      </w:r>
    </w:p>
    <w:p w14:paraId="11EB0CE9" w14:textId="77777777" w:rsidR="00F61EF1" w:rsidRPr="00771854" w:rsidRDefault="00F61EF1" w:rsidP="00771854">
      <w:pPr>
        <w:pStyle w:val="Kiemeltidzet"/>
        <w:spacing w:before="0" w:after="0" w:line="240" w:lineRule="auto"/>
        <w:ind w:left="-426" w:right="0"/>
        <w:rPr>
          <w:rFonts w:ascii="Times New Roman" w:hAnsi="Times New Roman"/>
          <w:b/>
          <w:sz w:val="24"/>
          <w:szCs w:val="24"/>
        </w:rPr>
        <w:sectPr w:rsidR="00F61EF1" w:rsidRPr="00771854" w:rsidSect="005C0E87">
          <w:type w:val="continuous"/>
          <w:pgSz w:w="11906" w:h="16838"/>
          <w:pgMar w:top="1417" w:right="991" w:bottom="1417" w:left="1417" w:header="708" w:footer="708" w:gutter="0"/>
          <w:cols w:space="708"/>
          <w:rtlGutter/>
          <w:docGrid w:linePitch="360"/>
        </w:sect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7"/>
        <w:gridCol w:w="1240"/>
        <w:gridCol w:w="1227"/>
        <w:gridCol w:w="529"/>
        <w:gridCol w:w="831"/>
        <w:gridCol w:w="1560"/>
        <w:gridCol w:w="1553"/>
        <w:gridCol w:w="1301"/>
      </w:tblGrid>
      <w:tr w:rsidR="00F61EF1" w:rsidRPr="00771854" w14:paraId="1C6DAF97" w14:textId="77777777" w:rsidTr="004D619E">
        <w:tc>
          <w:tcPr>
            <w:tcW w:w="9498" w:type="dxa"/>
            <w:gridSpan w:val="8"/>
            <w:tcBorders>
              <w:top w:val="nil"/>
              <w:left w:val="nil"/>
              <w:bottom w:val="nil"/>
              <w:right w:val="nil"/>
            </w:tcBorders>
          </w:tcPr>
          <w:p w14:paraId="015B08CF" w14:textId="77777777" w:rsidR="00F61EF1" w:rsidRPr="00771854" w:rsidRDefault="00F61EF1" w:rsidP="00771854">
            <w:pPr>
              <w:autoSpaceDE w:val="0"/>
              <w:autoSpaceDN w:val="0"/>
              <w:adjustRightInd w:val="0"/>
              <w:spacing w:after="60" w:line="240" w:lineRule="auto"/>
              <w:ind w:left="-113"/>
              <w:rPr>
                <w:rFonts w:ascii="Times New Roman" w:hAnsi="Times New Roman"/>
                <w:sz w:val="18"/>
                <w:szCs w:val="18"/>
              </w:rPr>
            </w:pPr>
            <w:r w:rsidRPr="00771854">
              <w:rPr>
                <w:rFonts w:ascii="Times New Roman" w:hAnsi="Times New Roman"/>
                <w:sz w:val="18"/>
                <w:szCs w:val="18"/>
                <w:u w:val="single"/>
              </w:rPr>
              <w:t xml:space="preserve">Összesített kockázati mutató: </w:t>
            </w:r>
          </w:p>
        </w:tc>
      </w:tr>
      <w:tr w:rsidR="00F61EF1" w:rsidRPr="00771854" w14:paraId="36A88140" w14:textId="77777777" w:rsidTr="004D619E">
        <w:tblPrEx>
          <w:jc w:val="center"/>
          <w:tblInd w:w="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PrEx>
        <w:trPr>
          <w:jc w:val="center"/>
        </w:trPr>
        <w:tc>
          <w:tcPr>
            <w:tcW w:w="1257" w:type="dxa"/>
            <w:vAlign w:val="center"/>
          </w:tcPr>
          <w:p w14:paraId="36F5E4C9" w14:textId="77777777" w:rsidR="00F61EF1" w:rsidRPr="00771854" w:rsidRDefault="00F61EF1" w:rsidP="00771854">
            <w:pPr>
              <w:spacing w:after="0" w:line="240" w:lineRule="auto"/>
              <w:jc w:val="center"/>
              <w:rPr>
                <w:rFonts w:ascii="Times New Roman" w:hAnsi="Times New Roman"/>
                <w:sz w:val="18"/>
                <w:szCs w:val="18"/>
              </w:rPr>
            </w:pPr>
            <w:r w:rsidRPr="00771854">
              <w:rPr>
                <w:rFonts w:ascii="Times New Roman" w:hAnsi="Times New Roman"/>
                <w:sz w:val="18"/>
                <w:szCs w:val="18"/>
              </w:rPr>
              <w:t>1</w:t>
            </w:r>
          </w:p>
        </w:tc>
        <w:tc>
          <w:tcPr>
            <w:tcW w:w="1240" w:type="dxa"/>
            <w:vAlign w:val="center"/>
          </w:tcPr>
          <w:p w14:paraId="1256C974" w14:textId="77777777" w:rsidR="00F61EF1" w:rsidRPr="00771854" w:rsidRDefault="00F61EF1" w:rsidP="00771854">
            <w:pPr>
              <w:spacing w:after="0" w:line="240" w:lineRule="auto"/>
              <w:jc w:val="center"/>
              <w:rPr>
                <w:rFonts w:ascii="Times New Roman" w:hAnsi="Times New Roman"/>
                <w:b/>
                <w:color w:val="337DF0"/>
                <w:sz w:val="18"/>
                <w:szCs w:val="18"/>
              </w:rPr>
            </w:pPr>
            <w:r w:rsidRPr="00771854">
              <w:rPr>
                <w:rFonts w:ascii="Times New Roman" w:hAnsi="Times New Roman"/>
                <w:b/>
                <w:color w:val="337DF0"/>
                <w:sz w:val="18"/>
                <w:szCs w:val="18"/>
              </w:rPr>
              <w:t>2</w:t>
            </w:r>
          </w:p>
        </w:tc>
        <w:tc>
          <w:tcPr>
            <w:tcW w:w="1227" w:type="dxa"/>
            <w:vAlign w:val="center"/>
          </w:tcPr>
          <w:p w14:paraId="267B1B71" w14:textId="77777777" w:rsidR="00F61EF1" w:rsidRPr="00771854" w:rsidRDefault="00F61EF1" w:rsidP="00771854">
            <w:pPr>
              <w:spacing w:after="0" w:line="240" w:lineRule="auto"/>
              <w:jc w:val="center"/>
              <w:rPr>
                <w:rFonts w:ascii="Times New Roman" w:hAnsi="Times New Roman"/>
                <w:sz w:val="18"/>
                <w:szCs w:val="18"/>
              </w:rPr>
            </w:pPr>
            <w:r w:rsidRPr="00771854">
              <w:rPr>
                <w:rFonts w:ascii="Times New Roman" w:hAnsi="Times New Roman"/>
                <w:sz w:val="18"/>
                <w:szCs w:val="18"/>
              </w:rPr>
              <w:t>3</w:t>
            </w:r>
          </w:p>
        </w:tc>
        <w:tc>
          <w:tcPr>
            <w:tcW w:w="1360" w:type="dxa"/>
            <w:gridSpan w:val="2"/>
            <w:vAlign w:val="center"/>
          </w:tcPr>
          <w:p w14:paraId="5BD88FA5" w14:textId="77777777" w:rsidR="00F61EF1" w:rsidRPr="00771854" w:rsidRDefault="00F61EF1" w:rsidP="00771854">
            <w:pPr>
              <w:spacing w:after="0" w:line="240" w:lineRule="auto"/>
              <w:jc w:val="center"/>
              <w:rPr>
                <w:rFonts w:ascii="Times New Roman" w:hAnsi="Times New Roman"/>
                <w:sz w:val="18"/>
                <w:szCs w:val="18"/>
              </w:rPr>
            </w:pPr>
            <w:r w:rsidRPr="00771854">
              <w:rPr>
                <w:rFonts w:ascii="Times New Roman" w:hAnsi="Times New Roman"/>
                <w:sz w:val="18"/>
                <w:szCs w:val="18"/>
              </w:rPr>
              <w:t>4</w:t>
            </w:r>
          </w:p>
        </w:tc>
        <w:tc>
          <w:tcPr>
            <w:tcW w:w="1560" w:type="dxa"/>
            <w:vAlign w:val="center"/>
          </w:tcPr>
          <w:p w14:paraId="1E0BA5BA" w14:textId="77777777" w:rsidR="00F61EF1" w:rsidRPr="00771854" w:rsidRDefault="00F61EF1" w:rsidP="00771854">
            <w:pPr>
              <w:spacing w:after="0" w:line="240" w:lineRule="auto"/>
              <w:jc w:val="center"/>
              <w:rPr>
                <w:rFonts w:ascii="Times New Roman" w:hAnsi="Times New Roman"/>
                <w:sz w:val="18"/>
                <w:szCs w:val="18"/>
              </w:rPr>
            </w:pPr>
            <w:r w:rsidRPr="00771854">
              <w:rPr>
                <w:rFonts w:ascii="Times New Roman" w:hAnsi="Times New Roman"/>
                <w:sz w:val="18"/>
                <w:szCs w:val="18"/>
              </w:rPr>
              <w:t>5</w:t>
            </w:r>
          </w:p>
        </w:tc>
        <w:tc>
          <w:tcPr>
            <w:tcW w:w="1553" w:type="dxa"/>
            <w:vAlign w:val="center"/>
          </w:tcPr>
          <w:p w14:paraId="3FE1A2EB" w14:textId="77777777" w:rsidR="00F61EF1" w:rsidRPr="00771854" w:rsidRDefault="00F61EF1" w:rsidP="00771854">
            <w:pPr>
              <w:spacing w:after="0" w:line="240" w:lineRule="auto"/>
              <w:jc w:val="center"/>
              <w:rPr>
                <w:rFonts w:ascii="Times New Roman" w:hAnsi="Times New Roman"/>
                <w:color w:val="4DBFF1"/>
                <w:sz w:val="18"/>
                <w:szCs w:val="18"/>
              </w:rPr>
            </w:pPr>
            <w:r w:rsidRPr="00771854">
              <w:rPr>
                <w:rFonts w:ascii="Times New Roman" w:hAnsi="Times New Roman"/>
                <w:sz w:val="18"/>
                <w:szCs w:val="18"/>
              </w:rPr>
              <w:t>6</w:t>
            </w:r>
          </w:p>
        </w:tc>
        <w:tc>
          <w:tcPr>
            <w:tcW w:w="1295" w:type="dxa"/>
            <w:vAlign w:val="center"/>
          </w:tcPr>
          <w:p w14:paraId="4E33DCC0" w14:textId="77777777" w:rsidR="00F61EF1" w:rsidRPr="00771854" w:rsidRDefault="00F61EF1" w:rsidP="00771854">
            <w:pPr>
              <w:spacing w:after="0" w:line="240" w:lineRule="auto"/>
              <w:jc w:val="center"/>
              <w:rPr>
                <w:rFonts w:ascii="Times New Roman" w:hAnsi="Times New Roman"/>
                <w:sz w:val="18"/>
                <w:szCs w:val="18"/>
              </w:rPr>
            </w:pPr>
            <w:r w:rsidRPr="00771854">
              <w:rPr>
                <w:rFonts w:ascii="Times New Roman" w:hAnsi="Times New Roman"/>
                <w:sz w:val="18"/>
                <w:szCs w:val="18"/>
              </w:rPr>
              <w:t>7</w:t>
            </w:r>
          </w:p>
        </w:tc>
      </w:tr>
      <w:tr w:rsidR="00F61EF1" w:rsidRPr="00771854" w14:paraId="55EC8C85" w14:textId="77777777" w:rsidTr="004D619E">
        <w:tc>
          <w:tcPr>
            <w:tcW w:w="9498" w:type="dxa"/>
            <w:gridSpan w:val="8"/>
            <w:tcBorders>
              <w:top w:val="nil"/>
              <w:left w:val="nil"/>
              <w:bottom w:val="nil"/>
              <w:right w:val="nil"/>
            </w:tcBorders>
          </w:tcPr>
          <w:p w14:paraId="7973435F" w14:textId="77777777" w:rsidR="00F61EF1" w:rsidRPr="00771854" w:rsidRDefault="00F61EF1" w:rsidP="00771854">
            <w:pPr>
              <w:autoSpaceDE w:val="0"/>
              <w:autoSpaceDN w:val="0"/>
              <w:adjustRightInd w:val="0"/>
              <w:spacing w:after="0" w:line="240" w:lineRule="auto"/>
              <w:ind w:left="742"/>
              <w:jc w:val="center"/>
              <w:rPr>
                <w:rFonts w:ascii="Times New Roman" w:hAnsi="Times New Roman"/>
                <w:sz w:val="18"/>
                <w:szCs w:val="18"/>
              </w:rPr>
            </w:pPr>
            <w:r w:rsidRPr="00771854">
              <w:rPr>
                <w:rFonts w:ascii="Times New Roman" w:hAnsi="Times New Roman"/>
                <w:sz w:val="18"/>
                <w:szCs w:val="18"/>
              </w:rPr>
              <w:t>&lt;. - - - - - - - - - - - - - - - - - - - - - - - - - - - - - - - - - - - - - - - - - - - - - - - - - - - - - - - - - - - - - - - - &gt;</w:t>
            </w:r>
          </w:p>
        </w:tc>
      </w:tr>
      <w:tr w:rsidR="00F61EF1" w:rsidRPr="00771854" w14:paraId="5CB06CBF" w14:textId="77777777" w:rsidTr="004D619E">
        <w:tc>
          <w:tcPr>
            <w:tcW w:w="4253" w:type="dxa"/>
            <w:gridSpan w:val="4"/>
            <w:tcBorders>
              <w:top w:val="nil"/>
              <w:left w:val="nil"/>
              <w:bottom w:val="nil"/>
              <w:right w:val="nil"/>
            </w:tcBorders>
          </w:tcPr>
          <w:p w14:paraId="6ED7B1A4" w14:textId="77777777" w:rsidR="00F61EF1" w:rsidRPr="00771854" w:rsidRDefault="00F61EF1" w:rsidP="00771854">
            <w:pPr>
              <w:autoSpaceDE w:val="0"/>
              <w:autoSpaceDN w:val="0"/>
              <w:adjustRightInd w:val="0"/>
              <w:spacing w:after="0" w:line="240" w:lineRule="auto"/>
              <w:ind w:right="-2093"/>
              <w:rPr>
                <w:rFonts w:ascii="Times New Roman" w:hAnsi="Times New Roman"/>
                <w:sz w:val="18"/>
                <w:szCs w:val="18"/>
              </w:rPr>
            </w:pPr>
            <w:r w:rsidRPr="00771854">
              <w:rPr>
                <w:rFonts w:ascii="Times New Roman" w:hAnsi="Times New Roman"/>
                <w:sz w:val="18"/>
                <w:szCs w:val="18"/>
              </w:rPr>
              <w:t>Alacsonyabb kockázat</w:t>
            </w:r>
          </w:p>
        </w:tc>
        <w:tc>
          <w:tcPr>
            <w:tcW w:w="5245" w:type="dxa"/>
            <w:gridSpan w:val="4"/>
            <w:tcBorders>
              <w:top w:val="nil"/>
              <w:left w:val="nil"/>
              <w:bottom w:val="nil"/>
              <w:right w:val="nil"/>
            </w:tcBorders>
          </w:tcPr>
          <w:p w14:paraId="63C6CCEC" w14:textId="77777777" w:rsidR="00F61EF1" w:rsidRPr="00771854" w:rsidRDefault="00F61EF1" w:rsidP="00771854">
            <w:pPr>
              <w:autoSpaceDE w:val="0"/>
              <w:autoSpaceDN w:val="0"/>
              <w:adjustRightInd w:val="0"/>
              <w:spacing w:after="0" w:line="240" w:lineRule="auto"/>
              <w:ind w:left="742"/>
              <w:jc w:val="right"/>
              <w:rPr>
                <w:rFonts w:ascii="Times New Roman" w:hAnsi="Times New Roman"/>
                <w:sz w:val="18"/>
                <w:szCs w:val="18"/>
              </w:rPr>
            </w:pPr>
            <w:r w:rsidRPr="00771854">
              <w:rPr>
                <w:rFonts w:ascii="Times New Roman" w:hAnsi="Times New Roman"/>
                <w:sz w:val="18"/>
                <w:szCs w:val="18"/>
              </w:rPr>
              <w:t>Magasabb kockázat</w:t>
            </w:r>
          </w:p>
        </w:tc>
      </w:tr>
    </w:tbl>
    <w:tbl>
      <w:tblPr>
        <w:tblStyle w:val="Rcsostblzat"/>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F61EF1" w:rsidRPr="00771854" w14:paraId="013BF9AE" w14:textId="77777777" w:rsidTr="00506A4B">
        <w:tc>
          <w:tcPr>
            <w:tcW w:w="9488" w:type="dxa"/>
          </w:tcPr>
          <w:p w14:paraId="7748D49E" w14:textId="77777777" w:rsidR="00F61EF1" w:rsidRPr="00771854" w:rsidRDefault="00F61EF1" w:rsidP="00771854">
            <w:pPr>
              <w:autoSpaceDE w:val="0"/>
              <w:autoSpaceDN w:val="0"/>
              <w:adjustRightInd w:val="0"/>
              <w:spacing w:after="0" w:line="240" w:lineRule="auto"/>
              <w:jc w:val="both"/>
              <w:rPr>
                <w:rFonts w:ascii="Times New Roman" w:hAnsi="Times New Roman"/>
                <w:sz w:val="18"/>
                <w:szCs w:val="18"/>
              </w:rPr>
            </w:pPr>
            <w:r w:rsidRPr="00771854">
              <w:rPr>
                <w:rFonts w:ascii="Times New Roman" w:hAnsi="Times New Roman"/>
                <w:noProof/>
                <w:sz w:val="18"/>
                <w:szCs w:val="18"/>
                <w:lang w:eastAsia="hu-HU"/>
              </w:rPr>
              <w:drawing>
                <wp:anchor distT="0" distB="0" distL="114300" distR="114300" simplePos="0" relativeHeight="251659264" behindDoc="1" locked="0" layoutInCell="1" allowOverlap="1" wp14:anchorId="1B382A72" wp14:editId="54C10D49">
                  <wp:simplePos x="0" y="0"/>
                  <wp:positionH relativeFrom="column">
                    <wp:posOffset>-65405</wp:posOffset>
                  </wp:positionH>
                  <wp:positionV relativeFrom="paragraph">
                    <wp:posOffset>0</wp:posOffset>
                  </wp:positionV>
                  <wp:extent cx="490220" cy="472440"/>
                  <wp:effectExtent l="0" t="0" r="5080" b="3810"/>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flipH="1">
                            <a:off x="0" y="0"/>
                            <a:ext cx="490220" cy="472440"/>
                          </a:xfrm>
                          <a:prstGeom prst="rect">
                            <a:avLst/>
                          </a:prstGeom>
                        </pic:spPr>
                      </pic:pic>
                    </a:graphicData>
                  </a:graphic>
                </wp:anchor>
              </w:drawing>
            </w:r>
            <w:r w:rsidRPr="00771854">
              <w:rPr>
                <w:rFonts w:ascii="Times New Roman" w:hAnsi="Times New Roman"/>
                <w:sz w:val="18"/>
                <w:szCs w:val="18"/>
              </w:rPr>
              <w:t xml:space="preserve">A kockázati mutató feltételezi, hogy Ön </w:t>
            </w:r>
            <w:r w:rsidRPr="00771854">
              <w:rPr>
                <w:rFonts w:ascii="Times New Roman" w:hAnsi="Times New Roman"/>
                <w:noProof/>
                <w:sz w:val="18"/>
                <w:szCs w:val="18"/>
              </w:rPr>
              <w:t>3</w:t>
            </w:r>
            <w:r w:rsidRPr="00771854">
              <w:rPr>
                <w:rFonts w:ascii="Times New Roman" w:hAnsi="Times New Roman"/>
                <w:sz w:val="18"/>
                <w:szCs w:val="18"/>
              </w:rPr>
              <w:t xml:space="preserve"> évig megtartja a terméket. </w:t>
            </w:r>
          </w:p>
          <w:p w14:paraId="4011AD8E" w14:textId="77777777" w:rsidR="00F61EF1" w:rsidRPr="00771854" w:rsidRDefault="00F61EF1" w:rsidP="00771854">
            <w:pPr>
              <w:autoSpaceDE w:val="0"/>
              <w:autoSpaceDN w:val="0"/>
              <w:adjustRightInd w:val="0"/>
              <w:spacing w:after="0" w:line="240" w:lineRule="auto"/>
              <w:jc w:val="both"/>
              <w:rPr>
                <w:rFonts w:ascii="Times New Roman" w:hAnsi="Times New Roman"/>
                <w:sz w:val="18"/>
                <w:szCs w:val="18"/>
              </w:rPr>
            </w:pPr>
          </w:p>
        </w:tc>
      </w:tr>
    </w:tbl>
    <w:p w14:paraId="74E63A8F" w14:textId="77777777" w:rsidR="00F61EF1" w:rsidRPr="00771854" w:rsidRDefault="00F61EF1" w:rsidP="00771854">
      <w:pPr>
        <w:autoSpaceDE w:val="0"/>
        <w:autoSpaceDN w:val="0"/>
        <w:adjustRightInd w:val="0"/>
        <w:spacing w:after="0" w:line="240" w:lineRule="auto"/>
        <w:ind w:left="-426"/>
        <w:jc w:val="both"/>
        <w:rPr>
          <w:rFonts w:ascii="Times New Roman" w:hAnsi="Times New Roman"/>
          <w:bCs/>
          <w:sz w:val="18"/>
          <w:szCs w:val="18"/>
        </w:rPr>
      </w:pPr>
      <w:r w:rsidRPr="00771854">
        <w:rPr>
          <w:rFonts w:ascii="Times New Roman" w:hAnsi="Times New Roman"/>
          <w:bCs/>
          <w:sz w:val="18"/>
          <w:szCs w:val="18"/>
        </w:rPr>
        <w:t xml:space="preserve">Az összesített kockázati mutató iránymutatást ad e termék más termékekhez viszonyított kockázati szintjéről. Azt mutatja meg, hogy a termék milyen valószínűséggel fog pénzügyi veszteséget okozni a piacok mozgása miatt vagy azért, mert nem tudjuk Önt kifizetni. Ezt a terméket a 7 osztály közül a </w:t>
      </w:r>
      <w:r w:rsidRPr="00771854">
        <w:rPr>
          <w:rFonts w:ascii="Times New Roman" w:hAnsi="Times New Roman"/>
          <w:bCs/>
          <w:noProof/>
          <w:sz w:val="18"/>
          <w:szCs w:val="18"/>
        </w:rPr>
        <w:t>2</w:t>
      </w:r>
      <w:r w:rsidRPr="00771854">
        <w:rPr>
          <w:rFonts w:ascii="Times New Roman" w:hAnsi="Times New Roman"/>
          <w:bCs/>
          <w:sz w:val="18"/>
          <w:szCs w:val="18"/>
        </w:rPr>
        <w:t xml:space="preserve">. osztályba soroltuk, amely </w:t>
      </w:r>
      <w:r w:rsidRPr="00771854">
        <w:rPr>
          <w:rFonts w:ascii="Times New Roman" w:hAnsi="Times New Roman"/>
          <w:bCs/>
          <w:noProof/>
          <w:sz w:val="18"/>
          <w:szCs w:val="18"/>
        </w:rPr>
        <w:t>alacsony</w:t>
      </w:r>
      <w:r w:rsidRPr="00771854">
        <w:rPr>
          <w:rFonts w:ascii="Times New Roman" w:hAnsi="Times New Roman"/>
          <w:bCs/>
          <w:sz w:val="18"/>
          <w:szCs w:val="18"/>
        </w:rPr>
        <w:t xml:space="preserve"> kockázati osztály. Ez a jövőbeli teljesítményből eredő potenciális veszteségeket </w:t>
      </w:r>
      <w:r w:rsidRPr="00771854">
        <w:rPr>
          <w:rFonts w:ascii="Times New Roman" w:hAnsi="Times New Roman"/>
          <w:bCs/>
          <w:noProof/>
          <w:sz w:val="18"/>
          <w:szCs w:val="18"/>
        </w:rPr>
        <w:t>alacsony</w:t>
      </w:r>
      <w:r w:rsidRPr="00771854">
        <w:rPr>
          <w:rFonts w:ascii="Times New Roman" w:hAnsi="Times New Roman"/>
          <w:bCs/>
          <w:sz w:val="18"/>
          <w:szCs w:val="18"/>
        </w:rPr>
        <w:t xml:space="preserve"> szintre sorolja, és a rossz piaci feltételek </w:t>
      </w:r>
      <w:r w:rsidRPr="00771854">
        <w:rPr>
          <w:rFonts w:ascii="Times New Roman" w:hAnsi="Times New Roman"/>
          <w:bCs/>
          <w:noProof/>
          <w:sz w:val="18"/>
          <w:szCs w:val="18"/>
        </w:rPr>
        <w:t>egyáltalán nem valószínű, hogy</w:t>
      </w:r>
      <w:r w:rsidRPr="00771854">
        <w:rPr>
          <w:rFonts w:ascii="Times New Roman" w:hAnsi="Times New Roman"/>
          <w:bCs/>
          <w:sz w:val="18"/>
          <w:szCs w:val="18"/>
        </w:rPr>
        <w:t xml:space="preserve"> hatással lesznek azon képességünkre, hogy kifizessük Önt.  Az a termék nem foglal magában védelmet a jövőbeli piaci teljesítménnyel szemben, ezért befektetését részben vagy egészében elveszítheti. </w:t>
      </w:r>
    </w:p>
    <w:p w14:paraId="3F61828D" w14:textId="77777777" w:rsidR="00F61EF1" w:rsidRPr="00771854" w:rsidRDefault="00F61EF1" w:rsidP="00771854">
      <w:pPr>
        <w:autoSpaceDE w:val="0"/>
        <w:autoSpaceDN w:val="0"/>
        <w:adjustRightInd w:val="0"/>
        <w:spacing w:after="0" w:line="240" w:lineRule="auto"/>
        <w:ind w:left="-426"/>
        <w:jc w:val="both"/>
        <w:rPr>
          <w:rFonts w:ascii="Times New Roman" w:hAnsi="Times New Roman"/>
          <w:bCs/>
          <w:sz w:val="18"/>
          <w:szCs w:val="18"/>
        </w:rPr>
      </w:pPr>
      <w:r w:rsidRPr="00771854">
        <w:rPr>
          <w:rFonts w:ascii="Times New Roman" w:hAnsi="Times New Roman"/>
          <w:bCs/>
          <w:sz w:val="18"/>
          <w:szCs w:val="18"/>
        </w:rPr>
        <w:t xml:space="preserve">Az Összesített kockázati mutató által figyelmen kívül hagyott további releváns kockázatok: </w:t>
      </w:r>
      <w:r w:rsidRPr="00771854">
        <w:rPr>
          <w:rFonts w:ascii="Times New Roman" w:hAnsi="Times New Roman"/>
          <w:b/>
          <w:bCs/>
          <w:sz w:val="18"/>
          <w:szCs w:val="18"/>
        </w:rPr>
        <w:t>Likviditási kockázat:</w:t>
      </w:r>
      <w:r w:rsidRPr="00771854">
        <w:rPr>
          <w:rFonts w:ascii="Times New Roman" w:hAnsi="Times New Roman"/>
          <w:bCs/>
          <w:sz w:val="18"/>
          <w:szCs w:val="18"/>
        </w:rPr>
        <w:t xml:space="preserve"> Fennáll annak a kockázata, hogy valamely </w:t>
      </w:r>
      <w:proofErr w:type="gramStart"/>
      <w:r w:rsidRPr="00771854">
        <w:rPr>
          <w:rFonts w:ascii="Times New Roman" w:hAnsi="Times New Roman"/>
          <w:bCs/>
          <w:sz w:val="18"/>
          <w:szCs w:val="18"/>
        </w:rPr>
        <w:t>pozíciót</w:t>
      </w:r>
      <w:proofErr w:type="gramEnd"/>
      <w:r w:rsidRPr="00771854">
        <w:rPr>
          <w:rFonts w:ascii="Times New Roman" w:hAnsi="Times New Roman"/>
          <w:bCs/>
          <w:sz w:val="18"/>
          <w:szCs w:val="18"/>
        </w:rPr>
        <w:t xml:space="preserve"> illetve értékpapírt nem sikerül időben megfelelő áron eladni. Ez a kockázat a befektetési jegyek visszaváltásának felfüggesztéséhez is vezethet. </w:t>
      </w:r>
      <w:r w:rsidRPr="00771854">
        <w:rPr>
          <w:rFonts w:ascii="Times New Roman" w:hAnsi="Times New Roman"/>
          <w:b/>
          <w:bCs/>
          <w:sz w:val="18"/>
          <w:szCs w:val="18"/>
        </w:rPr>
        <w:t>Partnerkockázat:</w:t>
      </w:r>
      <w:r w:rsidRPr="00771854">
        <w:rPr>
          <w:rFonts w:ascii="Times New Roman" w:hAnsi="Times New Roman"/>
          <w:bCs/>
          <w:sz w:val="18"/>
          <w:szCs w:val="18"/>
        </w:rPr>
        <w:t xml:space="preserve"> Az a kockázat, amelyet az Alapkezelő az üzletfelei – bankok, letétkezelők, brókerházak – kiválasztásával, a velük való szerződéses kapcsolat létesítésével vállal fel. </w:t>
      </w:r>
      <w:r w:rsidRPr="00771854">
        <w:rPr>
          <w:rFonts w:ascii="Times New Roman" w:hAnsi="Times New Roman"/>
          <w:b/>
          <w:bCs/>
          <w:sz w:val="18"/>
          <w:szCs w:val="18"/>
        </w:rPr>
        <w:t>Működési kockázat:</w:t>
      </w:r>
      <w:r w:rsidRPr="00771854">
        <w:rPr>
          <w:rFonts w:ascii="Times New Roman" w:hAnsi="Times New Roman"/>
          <w:bCs/>
          <w:sz w:val="18"/>
          <w:szCs w:val="18"/>
        </w:rPr>
        <w:t xml:space="preserve"> Az Alapkezelő tevékenységét a működési kockázatok elemzésével alakítja ki, de emellett mégis megtörténhet, hogy bizonyos tőkepiaci területek működési feltételei drámaian romlanak, es ez negatívan befolyásolhatja az Alap nettó eszközértékét. Emellett a tevékenységével kapcsolatban fennállhatnak személyi, tárgyi, technikai feltételekkel és a letétkezelővel kapcsolatos kockázatok.</w:t>
      </w:r>
    </w:p>
    <w:p w14:paraId="1ADA3151" w14:textId="77777777" w:rsidR="00F61EF1" w:rsidRPr="00771854" w:rsidRDefault="00F61EF1" w:rsidP="00771854">
      <w:pPr>
        <w:autoSpaceDE w:val="0"/>
        <w:autoSpaceDN w:val="0"/>
        <w:adjustRightInd w:val="0"/>
        <w:spacing w:before="60" w:after="60" w:line="240" w:lineRule="auto"/>
        <w:ind w:left="-426"/>
        <w:rPr>
          <w:rFonts w:ascii="Times New Roman" w:hAnsi="Times New Roman"/>
          <w:sz w:val="18"/>
          <w:szCs w:val="18"/>
          <w:u w:val="single"/>
        </w:rPr>
      </w:pPr>
      <w:r w:rsidRPr="00771854">
        <w:rPr>
          <w:rFonts w:ascii="Times New Roman" w:hAnsi="Times New Roman"/>
          <w:sz w:val="18"/>
          <w:szCs w:val="18"/>
          <w:u w:val="single"/>
        </w:rPr>
        <w:t xml:space="preserve">Teljesítmény-forgatókönyvek: </w:t>
      </w:r>
    </w:p>
    <w:p w14:paraId="3FA2BEF3" w14:textId="77777777" w:rsidR="00F61EF1" w:rsidRPr="00771854" w:rsidRDefault="00F61EF1" w:rsidP="00771854">
      <w:pPr>
        <w:autoSpaceDE w:val="0"/>
        <w:autoSpaceDN w:val="0"/>
        <w:adjustRightInd w:val="0"/>
        <w:spacing w:after="0" w:line="240" w:lineRule="auto"/>
        <w:ind w:left="-426"/>
        <w:jc w:val="both"/>
        <w:rPr>
          <w:rFonts w:ascii="Times New Roman" w:hAnsi="Times New Roman"/>
          <w:bCs/>
          <w:sz w:val="18"/>
          <w:szCs w:val="18"/>
        </w:rPr>
      </w:pPr>
      <w:r w:rsidRPr="00771854">
        <w:rPr>
          <w:rFonts w:ascii="Times New Roman" w:hAnsi="Times New Roman"/>
          <w:bCs/>
          <w:sz w:val="18"/>
          <w:szCs w:val="18"/>
        </w:rPr>
        <w:t xml:space="preserve">A bemutatott számadatok magukban foglalják magának a terméknek az összes költségét, de előfordulhat, hogy nem tartalmazzák az összes olyan költséget, amelyet Ön a tanácsadójának vagy forgalmazójának fizet. A számadatok nem veszik figyelembe az Ön személyes adóügyi helyzetét, amely szintén befolyásolhatja az Ön által visszakapott összeg nagyságát. </w:t>
      </w:r>
    </w:p>
    <w:p w14:paraId="2D2D1AC7" w14:textId="0BC8A225" w:rsidR="00F61EF1" w:rsidRPr="00771854" w:rsidRDefault="00F61EF1" w:rsidP="00771854">
      <w:pPr>
        <w:autoSpaceDE w:val="0"/>
        <w:autoSpaceDN w:val="0"/>
        <w:adjustRightInd w:val="0"/>
        <w:spacing w:after="60" w:line="240" w:lineRule="auto"/>
        <w:ind w:left="-426"/>
        <w:jc w:val="both"/>
        <w:rPr>
          <w:rFonts w:ascii="Times New Roman" w:hAnsi="Times New Roman"/>
          <w:bCs/>
          <w:sz w:val="18"/>
          <w:szCs w:val="18"/>
        </w:rPr>
      </w:pPr>
      <w:r w:rsidRPr="00771854">
        <w:rPr>
          <w:rFonts w:ascii="Times New Roman" w:hAnsi="Times New Roman"/>
          <w:b/>
          <w:bCs/>
          <w:sz w:val="18"/>
          <w:szCs w:val="18"/>
        </w:rPr>
        <w:t xml:space="preserve">Az e termékből Ön által elérhető hozam a jövőbeli piaci teljesítmény függvénye. A jövőbeli piaci fejlemények bizonytalanok, és nem jelezhetők pontosan előre. </w:t>
      </w:r>
    </w:p>
    <w:tbl>
      <w:tblPr>
        <w:tblW w:w="9400" w:type="dxa"/>
        <w:tblInd w:w="-436" w:type="dxa"/>
        <w:tblCellMar>
          <w:left w:w="70" w:type="dxa"/>
          <w:right w:w="70" w:type="dxa"/>
        </w:tblCellMar>
        <w:tblLook w:val="04A0" w:firstRow="1" w:lastRow="0" w:firstColumn="1" w:lastColumn="0" w:noHBand="0" w:noVBand="1"/>
      </w:tblPr>
      <w:tblGrid>
        <w:gridCol w:w="2240"/>
        <w:gridCol w:w="4360"/>
        <w:gridCol w:w="1400"/>
        <w:gridCol w:w="1400"/>
      </w:tblGrid>
      <w:tr w:rsidR="000422CA" w:rsidRPr="00771854" w14:paraId="202EEBFC" w14:textId="77777777" w:rsidTr="00771854">
        <w:trPr>
          <w:trHeight w:val="300"/>
        </w:trPr>
        <w:tc>
          <w:tcPr>
            <w:tcW w:w="2240" w:type="dxa"/>
            <w:tcBorders>
              <w:top w:val="single" w:sz="8" w:space="0" w:color="auto"/>
              <w:left w:val="single" w:sz="8" w:space="0" w:color="auto"/>
              <w:bottom w:val="nil"/>
              <w:right w:val="nil"/>
            </w:tcBorders>
            <w:shd w:val="clear" w:color="000000" w:fill="8DB3E2"/>
            <w:vAlign w:val="center"/>
            <w:hideMark/>
          </w:tcPr>
          <w:p w14:paraId="5505C073" w14:textId="77777777" w:rsidR="000422CA" w:rsidRPr="00771854" w:rsidRDefault="000422CA" w:rsidP="00771854">
            <w:pPr>
              <w:spacing w:after="0" w:line="240" w:lineRule="auto"/>
              <w:jc w:val="both"/>
              <w:rPr>
                <w:rFonts w:ascii="Times New Roman" w:hAnsi="Times New Roman"/>
                <w:b/>
                <w:bCs/>
                <w:color w:val="000000"/>
                <w:sz w:val="18"/>
                <w:szCs w:val="18"/>
                <w:lang w:eastAsia="hu-HU"/>
              </w:rPr>
            </w:pPr>
            <w:r w:rsidRPr="00771854">
              <w:rPr>
                <w:rFonts w:ascii="Times New Roman" w:hAnsi="Times New Roman"/>
                <w:b/>
                <w:bCs/>
                <w:color w:val="000000"/>
                <w:sz w:val="18"/>
                <w:szCs w:val="18"/>
                <w:lang w:eastAsia="hu-HU"/>
              </w:rPr>
              <w:t xml:space="preserve">Ajánlott tartási idő: </w:t>
            </w:r>
          </w:p>
        </w:tc>
        <w:tc>
          <w:tcPr>
            <w:tcW w:w="4360" w:type="dxa"/>
            <w:tcBorders>
              <w:top w:val="single" w:sz="8" w:space="0" w:color="auto"/>
              <w:left w:val="nil"/>
              <w:bottom w:val="nil"/>
              <w:right w:val="nil"/>
            </w:tcBorders>
            <w:shd w:val="clear" w:color="000000" w:fill="8DB3E2"/>
            <w:vAlign w:val="center"/>
            <w:hideMark/>
          </w:tcPr>
          <w:p w14:paraId="58B4E307" w14:textId="77777777" w:rsidR="000422CA" w:rsidRPr="00771854" w:rsidRDefault="000422CA" w:rsidP="00771854">
            <w:pPr>
              <w:spacing w:after="0" w:line="240" w:lineRule="auto"/>
              <w:rPr>
                <w:rFonts w:ascii="Times New Roman" w:hAnsi="Times New Roman"/>
                <w:b/>
                <w:bCs/>
                <w:color w:val="000000"/>
                <w:sz w:val="18"/>
                <w:szCs w:val="18"/>
                <w:lang w:eastAsia="hu-HU"/>
              </w:rPr>
            </w:pPr>
            <w:r w:rsidRPr="00771854">
              <w:rPr>
                <w:rFonts w:ascii="Times New Roman" w:hAnsi="Times New Roman"/>
                <w:b/>
                <w:bCs/>
                <w:color w:val="000000"/>
                <w:sz w:val="18"/>
                <w:szCs w:val="18"/>
                <w:lang w:eastAsia="hu-HU"/>
              </w:rPr>
              <w:t>3 év</w:t>
            </w:r>
          </w:p>
        </w:tc>
        <w:tc>
          <w:tcPr>
            <w:tcW w:w="1400" w:type="dxa"/>
            <w:tcBorders>
              <w:top w:val="single" w:sz="8" w:space="0" w:color="auto"/>
              <w:left w:val="nil"/>
              <w:bottom w:val="nil"/>
              <w:right w:val="nil"/>
            </w:tcBorders>
            <w:shd w:val="clear" w:color="000000" w:fill="8DB3E2"/>
            <w:vAlign w:val="center"/>
            <w:hideMark/>
          </w:tcPr>
          <w:p w14:paraId="2E7668EC" w14:textId="77777777" w:rsidR="000422CA" w:rsidRPr="00771854" w:rsidRDefault="000422CA" w:rsidP="00771854">
            <w:pPr>
              <w:spacing w:after="0" w:line="240" w:lineRule="auto"/>
              <w:jc w:val="both"/>
              <w:rPr>
                <w:rFonts w:ascii="Times New Roman" w:hAnsi="Times New Roman"/>
                <w:b/>
                <w:bCs/>
                <w:color w:val="000000"/>
                <w:sz w:val="18"/>
                <w:szCs w:val="18"/>
                <w:lang w:eastAsia="hu-HU"/>
              </w:rPr>
            </w:pPr>
            <w:r w:rsidRPr="00771854">
              <w:rPr>
                <w:rFonts w:ascii="Times New Roman" w:hAnsi="Times New Roman"/>
                <w:b/>
                <w:bCs/>
                <w:color w:val="000000"/>
                <w:sz w:val="18"/>
                <w:szCs w:val="18"/>
                <w:lang w:eastAsia="hu-HU"/>
              </w:rPr>
              <w:t> </w:t>
            </w:r>
          </w:p>
        </w:tc>
        <w:tc>
          <w:tcPr>
            <w:tcW w:w="1400" w:type="dxa"/>
            <w:tcBorders>
              <w:top w:val="single" w:sz="8" w:space="0" w:color="auto"/>
              <w:left w:val="nil"/>
              <w:bottom w:val="nil"/>
              <w:right w:val="single" w:sz="8" w:space="0" w:color="auto"/>
            </w:tcBorders>
            <w:shd w:val="clear" w:color="000000" w:fill="8DB3E2"/>
            <w:vAlign w:val="center"/>
            <w:hideMark/>
          </w:tcPr>
          <w:p w14:paraId="0FA3F65C" w14:textId="77777777" w:rsidR="000422CA" w:rsidRPr="00771854" w:rsidRDefault="000422CA" w:rsidP="00771854">
            <w:pPr>
              <w:spacing w:after="0" w:line="240" w:lineRule="auto"/>
              <w:jc w:val="both"/>
              <w:rPr>
                <w:rFonts w:ascii="Times New Roman" w:hAnsi="Times New Roman"/>
                <w:b/>
                <w:bCs/>
                <w:color w:val="000000"/>
                <w:sz w:val="18"/>
                <w:szCs w:val="18"/>
                <w:lang w:eastAsia="hu-HU"/>
              </w:rPr>
            </w:pPr>
            <w:r w:rsidRPr="00771854">
              <w:rPr>
                <w:rFonts w:ascii="Times New Roman" w:hAnsi="Times New Roman"/>
                <w:b/>
                <w:bCs/>
                <w:color w:val="000000"/>
                <w:sz w:val="18"/>
                <w:szCs w:val="18"/>
                <w:lang w:eastAsia="hu-HU"/>
              </w:rPr>
              <w:t> </w:t>
            </w:r>
          </w:p>
        </w:tc>
      </w:tr>
      <w:tr w:rsidR="000422CA" w:rsidRPr="00771854" w14:paraId="3AE51A9A" w14:textId="77777777" w:rsidTr="00771854">
        <w:trPr>
          <w:trHeight w:val="300"/>
        </w:trPr>
        <w:tc>
          <w:tcPr>
            <w:tcW w:w="2240" w:type="dxa"/>
            <w:tcBorders>
              <w:top w:val="nil"/>
              <w:left w:val="single" w:sz="8" w:space="0" w:color="auto"/>
              <w:bottom w:val="nil"/>
              <w:right w:val="nil"/>
            </w:tcBorders>
            <w:shd w:val="clear" w:color="000000" w:fill="8DB3E2"/>
            <w:vAlign w:val="center"/>
            <w:hideMark/>
          </w:tcPr>
          <w:p w14:paraId="431FDDBE" w14:textId="77777777" w:rsidR="000422CA" w:rsidRPr="00771854" w:rsidRDefault="000422CA" w:rsidP="00771854">
            <w:pPr>
              <w:spacing w:after="0" w:line="240" w:lineRule="auto"/>
              <w:jc w:val="both"/>
              <w:rPr>
                <w:rFonts w:ascii="Times New Roman" w:hAnsi="Times New Roman"/>
                <w:b/>
                <w:bCs/>
                <w:color w:val="000000"/>
                <w:sz w:val="18"/>
                <w:szCs w:val="18"/>
                <w:lang w:eastAsia="hu-HU"/>
              </w:rPr>
            </w:pPr>
            <w:r w:rsidRPr="00771854">
              <w:rPr>
                <w:rFonts w:ascii="Times New Roman" w:hAnsi="Times New Roman"/>
                <w:b/>
                <w:bCs/>
                <w:color w:val="000000"/>
                <w:sz w:val="18"/>
                <w:szCs w:val="18"/>
                <w:lang w:eastAsia="hu-HU"/>
              </w:rPr>
              <w:t>Befektetés:</w:t>
            </w:r>
          </w:p>
        </w:tc>
        <w:tc>
          <w:tcPr>
            <w:tcW w:w="4360" w:type="dxa"/>
            <w:tcBorders>
              <w:top w:val="nil"/>
              <w:left w:val="nil"/>
              <w:bottom w:val="nil"/>
              <w:right w:val="nil"/>
            </w:tcBorders>
            <w:shd w:val="clear" w:color="000000" w:fill="8DB3E2"/>
            <w:vAlign w:val="center"/>
            <w:hideMark/>
          </w:tcPr>
          <w:p w14:paraId="388A8888" w14:textId="4C9EBE7F" w:rsidR="000422CA" w:rsidRPr="00771854" w:rsidRDefault="000422CA" w:rsidP="00771854">
            <w:pPr>
              <w:spacing w:after="0" w:line="240" w:lineRule="auto"/>
              <w:rPr>
                <w:rFonts w:ascii="Times New Roman" w:hAnsi="Times New Roman"/>
                <w:b/>
                <w:bCs/>
                <w:color w:val="000000"/>
                <w:sz w:val="18"/>
                <w:szCs w:val="18"/>
                <w:lang w:eastAsia="hu-HU"/>
              </w:rPr>
            </w:pPr>
            <w:r w:rsidRPr="00771854">
              <w:rPr>
                <w:rFonts w:ascii="Times New Roman" w:hAnsi="Times New Roman"/>
                <w:b/>
                <w:bCs/>
                <w:color w:val="000000"/>
                <w:sz w:val="18"/>
                <w:szCs w:val="18"/>
                <w:lang w:eastAsia="hu-HU"/>
              </w:rPr>
              <w:t xml:space="preserve">4 100 000 Ft </w:t>
            </w:r>
          </w:p>
        </w:tc>
        <w:tc>
          <w:tcPr>
            <w:tcW w:w="1400" w:type="dxa"/>
            <w:tcBorders>
              <w:top w:val="nil"/>
              <w:left w:val="nil"/>
              <w:bottom w:val="nil"/>
              <w:right w:val="nil"/>
            </w:tcBorders>
            <w:shd w:val="clear" w:color="000000" w:fill="8DB3E2"/>
            <w:vAlign w:val="center"/>
            <w:hideMark/>
          </w:tcPr>
          <w:p w14:paraId="35A4A053" w14:textId="77777777" w:rsidR="000422CA" w:rsidRPr="00771854" w:rsidRDefault="000422CA" w:rsidP="00771854">
            <w:pPr>
              <w:spacing w:after="0" w:line="240" w:lineRule="auto"/>
              <w:jc w:val="both"/>
              <w:rPr>
                <w:rFonts w:ascii="Times New Roman" w:hAnsi="Times New Roman"/>
                <w:b/>
                <w:bCs/>
                <w:color w:val="000000"/>
                <w:sz w:val="18"/>
                <w:szCs w:val="18"/>
                <w:lang w:eastAsia="hu-HU"/>
              </w:rPr>
            </w:pPr>
            <w:r w:rsidRPr="00771854">
              <w:rPr>
                <w:rFonts w:ascii="Times New Roman" w:hAnsi="Times New Roman"/>
                <w:b/>
                <w:bCs/>
                <w:color w:val="000000"/>
                <w:sz w:val="18"/>
                <w:szCs w:val="18"/>
                <w:lang w:eastAsia="hu-HU"/>
              </w:rPr>
              <w:t> </w:t>
            </w:r>
          </w:p>
        </w:tc>
        <w:tc>
          <w:tcPr>
            <w:tcW w:w="1400" w:type="dxa"/>
            <w:tcBorders>
              <w:top w:val="nil"/>
              <w:left w:val="nil"/>
              <w:bottom w:val="nil"/>
              <w:right w:val="single" w:sz="8" w:space="0" w:color="auto"/>
            </w:tcBorders>
            <w:shd w:val="clear" w:color="000000" w:fill="8DB3E2"/>
            <w:vAlign w:val="center"/>
            <w:hideMark/>
          </w:tcPr>
          <w:p w14:paraId="07A75E9B" w14:textId="77777777" w:rsidR="000422CA" w:rsidRPr="00771854" w:rsidRDefault="000422CA" w:rsidP="00771854">
            <w:pPr>
              <w:spacing w:after="0" w:line="240" w:lineRule="auto"/>
              <w:jc w:val="both"/>
              <w:rPr>
                <w:rFonts w:ascii="Times New Roman" w:hAnsi="Times New Roman"/>
                <w:b/>
                <w:bCs/>
                <w:color w:val="000000"/>
                <w:sz w:val="18"/>
                <w:szCs w:val="18"/>
                <w:lang w:eastAsia="hu-HU"/>
              </w:rPr>
            </w:pPr>
            <w:r w:rsidRPr="00771854">
              <w:rPr>
                <w:rFonts w:ascii="Times New Roman" w:hAnsi="Times New Roman"/>
                <w:b/>
                <w:bCs/>
                <w:color w:val="000000"/>
                <w:sz w:val="18"/>
                <w:szCs w:val="18"/>
                <w:lang w:eastAsia="hu-HU"/>
              </w:rPr>
              <w:t> </w:t>
            </w:r>
          </w:p>
        </w:tc>
      </w:tr>
      <w:tr w:rsidR="000422CA" w:rsidRPr="00771854" w14:paraId="596122DE" w14:textId="77777777" w:rsidTr="00771854">
        <w:trPr>
          <w:trHeight w:val="300"/>
        </w:trPr>
        <w:tc>
          <w:tcPr>
            <w:tcW w:w="2240" w:type="dxa"/>
            <w:tcBorders>
              <w:top w:val="nil"/>
              <w:left w:val="single" w:sz="8" w:space="0" w:color="auto"/>
              <w:bottom w:val="nil"/>
              <w:right w:val="nil"/>
            </w:tcBorders>
            <w:shd w:val="clear" w:color="000000" w:fill="8DB3E2"/>
            <w:vAlign w:val="center"/>
            <w:hideMark/>
          </w:tcPr>
          <w:p w14:paraId="023A6BED" w14:textId="77777777" w:rsidR="000422CA" w:rsidRPr="00771854" w:rsidRDefault="000422CA" w:rsidP="00771854">
            <w:pPr>
              <w:spacing w:after="0" w:line="240" w:lineRule="auto"/>
              <w:jc w:val="both"/>
              <w:rPr>
                <w:rFonts w:ascii="Times New Roman" w:hAnsi="Times New Roman"/>
                <w:b/>
                <w:bCs/>
                <w:color w:val="000000"/>
                <w:sz w:val="18"/>
                <w:szCs w:val="18"/>
                <w:lang w:eastAsia="hu-HU"/>
              </w:rPr>
            </w:pPr>
            <w:r w:rsidRPr="00771854">
              <w:rPr>
                <w:rFonts w:ascii="Times New Roman" w:hAnsi="Times New Roman"/>
                <w:b/>
                <w:bCs/>
                <w:color w:val="000000"/>
                <w:sz w:val="18"/>
                <w:szCs w:val="18"/>
                <w:lang w:eastAsia="hu-HU"/>
              </w:rPr>
              <w:t> </w:t>
            </w:r>
          </w:p>
        </w:tc>
        <w:tc>
          <w:tcPr>
            <w:tcW w:w="4360" w:type="dxa"/>
            <w:tcBorders>
              <w:top w:val="nil"/>
              <w:left w:val="nil"/>
              <w:bottom w:val="nil"/>
              <w:right w:val="nil"/>
            </w:tcBorders>
            <w:shd w:val="clear" w:color="000000" w:fill="8DB3E2"/>
            <w:vAlign w:val="center"/>
            <w:hideMark/>
          </w:tcPr>
          <w:p w14:paraId="164B1EBE" w14:textId="77777777" w:rsidR="000422CA" w:rsidRPr="00771854" w:rsidRDefault="000422CA" w:rsidP="00771854">
            <w:pPr>
              <w:spacing w:after="0" w:line="240" w:lineRule="auto"/>
              <w:jc w:val="both"/>
              <w:rPr>
                <w:rFonts w:ascii="Times New Roman" w:hAnsi="Times New Roman"/>
                <w:b/>
                <w:bCs/>
                <w:color w:val="000000"/>
                <w:sz w:val="18"/>
                <w:szCs w:val="18"/>
                <w:lang w:eastAsia="hu-HU"/>
              </w:rPr>
            </w:pPr>
            <w:r w:rsidRPr="00771854">
              <w:rPr>
                <w:rFonts w:ascii="Times New Roman" w:hAnsi="Times New Roman"/>
                <w:b/>
                <w:bCs/>
                <w:color w:val="000000"/>
                <w:sz w:val="18"/>
                <w:szCs w:val="18"/>
                <w:lang w:eastAsia="hu-HU"/>
              </w:rPr>
              <w:t> </w:t>
            </w:r>
          </w:p>
        </w:tc>
        <w:tc>
          <w:tcPr>
            <w:tcW w:w="1400" w:type="dxa"/>
            <w:tcBorders>
              <w:top w:val="nil"/>
              <w:left w:val="nil"/>
              <w:bottom w:val="nil"/>
              <w:right w:val="nil"/>
            </w:tcBorders>
            <w:shd w:val="clear" w:color="000000" w:fill="8DB3E2"/>
            <w:vAlign w:val="center"/>
            <w:hideMark/>
          </w:tcPr>
          <w:p w14:paraId="5AE728FB" w14:textId="77777777" w:rsidR="000422CA" w:rsidRPr="00771854" w:rsidRDefault="000422CA" w:rsidP="00771854">
            <w:pPr>
              <w:spacing w:after="0" w:line="240" w:lineRule="auto"/>
              <w:jc w:val="both"/>
              <w:rPr>
                <w:rFonts w:ascii="Times New Roman" w:hAnsi="Times New Roman"/>
                <w:b/>
                <w:bCs/>
                <w:color w:val="000000"/>
                <w:sz w:val="18"/>
                <w:szCs w:val="18"/>
                <w:lang w:eastAsia="hu-HU"/>
              </w:rPr>
            </w:pPr>
            <w:r w:rsidRPr="00771854">
              <w:rPr>
                <w:rFonts w:ascii="Times New Roman" w:hAnsi="Times New Roman"/>
                <w:b/>
                <w:bCs/>
                <w:color w:val="000000"/>
                <w:sz w:val="18"/>
                <w:szCs w:val="18"/>
                <w:lang w:eastAsia="hu-HU"/>
              </w:rPr>
              <w:t> </w:t>
            </w:r>
          </w:p>
        </w:tc>
        <w:tc>
          <w:tcPr>
            <w:tcW w:w="1400" w:type="dxa"/>
            <w:tcBorders>
              <w:top w:val="nil"/>
              <w:left w:val="nil"/>
              <w:bottom w:val="nil"/>
              <w:right w:val="single" w:sz="8" w:space="0" w:color="auto"/>
            </w:tcBorders>
            <w:shd w:val="clear" w:color="000000" w:fill="8DB3E2"/>
            <w:vAlign w:val="center"/>
            <w:hideMark/>
          </w:tcPr>
          <w:p w14:paraId="711BFA60" w14:textId="77777777" w:rsidR="000422CA" w:rsidRPr="00771854" w:rsidRDefault="000422CA" w:rsidP="00771854">
            <w:pPr>
              <w:spacing w:after="0" w:line="240" w:lineRule="auto"/>
              <w:jc w:val="both"/>
              <w:rPr>
                <w:rFonts w:ascii="Times New Roman" w:hAnsi="Times New Roman"/>
                <w:b/>
                <w:bCs/>
                <w:color w:val="000000"/>
                <w:sz w:val="18"/>
                <w:szCs w:val="18"/>
                <w:lang w:eastAsia="hu-HU"/>
              </w:rPr>
            </w:pPr>
            <w:r w:rsidRPr="00771854">
              <w:rPr>
                <w:rFonts w:ascii="Times New Roman" w:hAnsi="Times New Roman"/>
                <w:b/>
                <w:bCs/>
                <w:color w:val="000000"/>
                <w:sz w:val="18"/>
                <w:szCs w:val="18"/>
                <w:lang w:eastAsia="hu-HU"/>
              </w:rPr>
              <w:t> </w:t>
            </w:r>
          </w:p>
        </w:tc>
      </w:tr>
      <w:tr w:rsidR="000422CA" w:rsidRPr="00771854" w14:paraId="4A681A09" w14:textId="77777777" w:rsidTr="00771854">
        <w:trPr>
          <w:trHeight w:val="315"/>
        </w:trPr>
        <w:tc>
          <w:tcPr>
            <w:tcW w:w="2240" w:type="dxa"/>
            <w:tcBorders>
              <w:top w:val="nil"/>
              <w:left w:val="single" w:sz="8" w:space="0" w:color="auto"/>
              <w:bottom w:val="nil"/>
              <w:right w:val="nil"/>
            </w:tcBorders>
            <w:shd w:val="clear" w:color="000000" w:fill="8DB3E2"/>
            <w:hideMark/>
          </w:tcPr>
          <w:p w14:paraId="7E83915C" w14:textId="77777777" w:rsidR="000422CA" w:rsidRPr="00771854" w:rsidRDefault="000422CA" w:rsidP="00771854">
            <w:pPr>
              <w:spacing w:after="0" w:line="240" w:lineRule="auto"/>
              <w:rPr>
                <w:rFonts w:ascii="Times New Roman" w:hAnsi="Times New Roman"/>
                <w:b/>
                <w:bCs/>
                <w:color w:val="000000"/>
                <w:sz w:val="18"/>
                <w:szCs w:val="18"/>
                <w:lang w:eastAsia="hu-HU"/>
              </w:rPr>
            </w:pPr>
            <w:r w:rsidRPr="00771854">
              <w:rPr>
                <w:rFonts w:ascii="Times New Roman" w:hAnsi="Times New Roman"/>
                <w:b/>
                <w:bCs/>
                <w:color w:val="000000"/>
                <w:sz w:val="18"/>
                <w:szCs w:val="18"/>
                <w:lang w:eastAsia="hu-HU"/>
              </w:rPr>
              <w:t>Forgatókönyvek</w:t>
            </w:r>
          </w:p>
        </w:tc>
        <w:tc>
          <w:tcPr>
            <w:tcW w:w="4360" w:type="dxa"/>
            <w:tcBorders>
              <w:top w:val="nil"/>
              <w:left w:val="nil"/>
              <w:bottom w:val="nil"/>
              <w:right w:val="nil"/>
            </w:tcBorders>
            <w:shd w:val="clear" w:color="000000" w:fill="8DB3E2"/>
            <w:hideMark/>
          </w:tcPr>
          <w:p w14:paraId="186C7A26" w14:textId="77777777" w:rsidR="000422CA" w:rsidRPr="00771854" w:rsidRDefault="000422CA" w:rsidP="00771854">
            <w:pPr>
              <w:spacing w:after="0" w:line="240" w:lineRule="auto"/>
              <w:jc w:val="center"/>
              <w:rPr>
                <w:rFonts w:ascii="Times New Roman" w:hAnsi="Times New Roman"/>
                <w:b/>
                <w:bCs/>
                <w:color w:val="000000"/>
                <w:sz w:val="18"/>
                <w:szCs w:val="18"/>
                <w:lang w:eastAsia="hu-HU"/>
              </w:rPr>
            </w:pPr>
            <w:r w:rsidRPr="00771854">
              <w:rPr>
                <w:rFonts w:ascii="Times New Roman" w:hAnsi="Times New Roman"/>
                <w:b/>
                <w:bCs/>
                <w:color w:val="000000"/>
                <w:sz w:val="18"/>
                <w:szCs w:val="18"/>
                <w:lang w:eastAsia="hu-HU"/>
              </w:rPr>
              <w:t> </w:t>
            </w:r>
          </w:p>
        </w:tc>
        <w:tc>
          <w:tcPr>
            <w:tcW w:w="1400" w:type="dxa"/>
            <w:tcBorders>
              <w:top w:val="nil"/>
              <w:left w:val="nil"/>
              <w:bottom w:val="nil"/>
              <w:right w:val="nil"/>
            </w:tcBorders>
            <w:shd w:val="clear" w:color="000000" w:fill="8DB3E2"/>
            <w:hideMark/>
          </w:tcPr>
          <w:p w14:paraId="1496C3DF" w14:textId="77777777" w:rsidR="000422CA" w:rsidRPr="00771854" w:rsidRDefault="000422CA" w:rsidP="00771854">
            <w:pPr>
              <w:spacing w:after="0" w:line="240" w:lineRule="auto"/>
              <w:jc w:val="center"/>
              <w:rPr>
                <w:rFonts w:ascii="Times New Roman" w:hAnsi="Times New Roman"/>
                <w:b/>
                <w:bCs/>
                <w:color w:val="000000"/>
                <w:sz w:val="18"/>
                <w:szCs w:val="18"/>
                <w:lang w:eastAsia="hu-HU"/>
              </w:rPr>
            </w:pPr>
            <w:r w:rsidRPr="00771854">
              <w:rPr>
                <w:rFonts w:ascii="Times New Roman" w:hAnsi="Times New Roman"/>
                <w:b/>
                <w:bCs/>
                <w:color w:val="000000"/>
                <w:sz w:val="18"/>
                <w:szCs w:val="18"/>
                <w:lang w:eastAsia="hu-HU"/>
              </w:rPr>
              <w:t>1 év</w:t>
            </w:r>
          </w:p>
        </w:tc>
        <w:tc>
          <w:tcPr>
            <w:tcW w:w="1400" w:type="dxa"/>
            <w:tcBorders>
              <w:top w:val="nil"/>
              <w:left w:val="nil"/>
              <w:bottom w:val="nil"/>
              <w:right w:val="single" w:sz="8" w:space="0" w:color="auto"/>
            </w:tcBorders>
            <w:shd w:val="clear" w:color="000000" w:fill="8DB3E2"/>
            <w:hideMark/>
          </w:tcPr>
          <w:p w14:paraId="76E50119" w14:textId="77777777" w:rsidR="000422CA" w:rsidRPr="00771854" w:rsidRDefault="000422CA" w:rsidP="00771854">
            <w:pPr>
              <w:spacing w:after="0" w:line="240" w:lineRule="auto"/>
              <w:jc w:val="center"/>
              <w:rPr>
                <w:rFonts w:ascii="Times New Roman" w:hAnsi="Times New Roman"/>
                <w:b/>
                <w:bCs/>
                <w:color w:val="000000"/>
                <w:sz w:val="18"/>
                <w:szCs w:val="18"/>
                <w:lang w:eastAsia="hu-HU"/>
              </w:rPr>
            </w:pPr>
            <w:r w:rsidRPr="00771854">
              <w:rPr>
                <w:rFonts w:ascii="Times New Roman" w:hAnsi="Times New Roman"/>
                <w:b/>
                <w:bCs/>
                <w:color w:val="000000"/>
                <w:sz w:val="18"/>
                <w:szCs w:val="18"/>
                <w:lang w:eastAsia="hu-HU"/>
              </w:rPr>
              <w:t>3 év</w:t>
            </w:r>
          </w:p>
        </w:tc>
      </w:tr>
      <w:tr w:rsidR="000422CA" w:rsidRPr="00771854" w14:paraId="01C6C0C4" w14:textId="77777777" w:rsidTr="00771854">
        <w:trPr>
          <w:trHeight w:val="300"/>
        </w:trPr>
        <w:tc>
          <w:tcPr>
            <w:tcW w:w="2240" w:type="dxa"/>
            <w:vMerge w:val="restart"/>
            <w:tcBorders>
              <w:top w:val="single" w:sz="8" w:space="0" w:color="auto"/>
              <w:left w:val="single" w:sz="8" w:space="0" w:color="auto"/>
              <w:bottom w:val="single" w:sz="4" w:space="0" w:color="000000"/>
              <w:right w:val="single" w:sz="4" w:space="0" w:color="auto"/>
            </w:tcBorders>
            <w:shd w:val="clear" w:color="000000" w:fill="FFFFFF"/>
            <w:noWrap/>
            <w:vAlign w:val="center"/>
            <w:hideMark/>
          </w:tcPr>
          <w:p w14:paraId="16BBB226" w14:textId="77777777" w:rsidR="000422CA" w:rsidRPr="00771854" w:rsidRDefault="000422CA" w:rsidP="00771854">
            <w:pPr>
              <w:spacing w:after="0" w:line="240" w:lineRule="auto"/>
              <w:rPr>
                <w:rFonts w:ascii="Times New Roman" w:hAnsi="Times New Roman"/>
                <w:b/>
                <w:bCs/>
                <w:color w:val="000000"/>
                <w:sz w:val="18"/>
                <w:szCs w:val="18"/>
                <w:lang w:eastAsia="hu-HU"/>
              </w:rPr>
            </w:pPr>
            <w:r w:rsidRPr="00771854">
              <w:rPr>
                <w:rFonts w:ascii="Times New Roman" w:hAnsi="Times New Roman"/>
                <w:b/>
                <w:bCs/>
                <w:color w:val="000000"/>
                <w:sz w:val="18"/>
                <w:szCs w:val="18"/>
                <w:lang w:eastAsia="hu-HU"/>
              </w:rPr>
              <w:t xml:space="preserve"> Stresszforgatókönyv</w:t>
            </w:r>
          </w:p>
        </w:tc>
        <w:tc>
          <w:tcPr>
            <w:tcW w:w="4360" w:type="dxa"/>
            <w:tcBorders>
              <w:top w:val="single" w:sz="8" w:space="0" w:color="auto"/>
              <w:left w:val="nil"/>
              <w:bottom w:val="single" w:sz="4" w:space="0" w:color="auto"/>
              <w:right w:val="single" w:sz="4" w:space="0" w:color="auto"/>
            </w:tcBorders>
            <w:shd w:val="clear" w:color="000000" w:fill="FFFFFF"/>
            <w:noWrap/>
            <w:vAlign w:val="bottom"/>
            <w:hideMark/>
          </w:tcPr>
          <w:p w14:paraId="39AE1E57" w14:textId="77777777" w:rsidR="000422CA" w:rsidRPr="00771854" w:rsidRDefault="000422CA" w:rsidP="00771854">
            <w:pPr>
              <w:spacing w:after="0" w:line="240" w:lineRule="auto"/>
              <w:rPr>
                <w:rFonts w:ascii="Times New Roman" w:hAnsi="Times New Roman"/>
                <w:color w:val="000000"/>
                <w:sz w:val="18"/>
                <w:szCs w:val="18"/>
                <w:lang w:eastAsia="hu-HU"/>
              </w:rPr>
            </w:pPr>
            <w:r w:rsidRPr="00771854">
              <w:rPr>
                <w:rFonts w:ascii="Times New Roman" w:hAnsi="Times New Roman"/>
                <w:color w:val="000000"/>
                <w:sz w:val="18"/>
                <w:szCs w:val="18"/>
                <w:lang w:eastAsia="hu-HU"/>
              </w:rPr>
              <w:t xml:space="preserve"> Ezt az összeget kaphatja vissza a költségek levonása után</w:t>
            </w:r>
          </w:p>
        </w:tc>
        <w:tc>
          <w:tcPr>
            <w:tcW w:w="1400" w:type="dxa"/>
            <w:tcBorders>
              <w:top w:val="single" w:sz="8" w:space="0" w:color="auto"/>
              <w:left w:val="nil"/>
              <w:bottom w:val="single" w:sz="4" w:space="0" w:color="auto"/>
              <w:right w:val="single" w:sz="4" w:space="0" w:color="auto"/>
            </w:tcBorders>
            <w:shd w:val="clear" w:color="000000" w:fill="FFFFFF"/>
            <w:noWrap/>
            <w:vAlign w:val="bottom"/>
            <w:hideMark/>
          </w:tcPr>
          <w:p w14:paraId="67CED4D5" w14:textId="00FEE56F" w:rsidR="000422CA" w:rsidRPr="00771854" w:rsidRDefault="000422CA" w:rsidP="00771854">
            <w:pPr>
              <w:spacing w:after="0" w:line="240" w:lineRule="auto"/>
              <w:jc w:val="right"/>
              <w:rPr>
                <w:rFonts w:ascii="Times New Roman" w:hAnsi="Times New Roman"/>
                <w:color w:val="000000"/>
                <w:sz w:val="18"/>
                <w:szCs w:val="18"/>
                <w:lang w:eastAsia="hu-HU"/>
              </w:rPr>
            </w:pPr>
            <w:r w:rsidRPr="00771854">
              <w:rPr>
                <w:rFonts w:ascii="Times New Roman" w:hAnsi="Times New Roman"/>
                <w:color w:val="000000"/>
                <w:sz w:val="18"/>
                <w:szCs w:val="18"/>
                <w:lang w:eastAsia="hu-HU"/>
              </w:rPr>
              <w:t xml:space="preserve">2 496 311 Ft </w:t>
            </w:r>
          </w:p>
        </w:tc>
        <w:tc>
          <w:tcPr>
            <w:tcW w:w="1400" w:type="dxa"/>
            <w:tcBorders>
              <w:top w:val="single" w:sz="8" w:space="0" w:color="auto"/>
              <w:left w:val="nil"/>
              <w:bottom w:val="single" w:sz="4" w:space="0" w:color="auto"/>
              <w:right w:val="single" w:sz="8" w:space="0" w:color="auto"/>
            </w:tcBorders>
            <w:shd w:val="clear" w:color="000000" w:fill="FFFFFF"/>
            <w:noWrap/>
            <w:vAlign w:val="bottom"/>
            <w:hideMark/>
          </w:tcPr>
          <w:p w14:paraId="04C7D86F" w14:textId="1F6831E2" w:rsidR="000422CA" w:rsidRPr="00771854" w:rsidRDefault="000422CA" w:rsidP="00771854">
            <w:pPr>
              <w:spacing w:after="0" w:line="240" w:lineRule="auto"/>
              <w:jc w:val="right"/>
              <w:rPr>
                <w:rFonts w:ascii="Times New Roman" w:hAnsi="Times New Roman"/>
                <w:color w:val="000000"/>
                <w:sz w:val="18"/>
                <w:szCs w:val="18"/>
                <w:lang w:eastAsia="hu-HU"/>
              </w:rPr>
            </w:pPr>
            <w:r w:rsidRPr="00771854">
              <w:rPr>
                <w:rFonts w:ascii="Times New Roman" w:hAnsi="Times New Roman"/>
                <w:color w:val="000000"/>
                <w:sz w:val="18"/>
                <w:szCs w:val="18"/>
                <w:lang w:eastAsia="hu-HU"/>
              </w:rPr>
              <w:t xml:space="preserve">2 511 157 Ft </w:t>
            </w:r>
          </w:p>
        </w:tc>
      </w:tr>
      <w:tr w:rsidR="000422CA" w:rsidRPr="00771854" w14:paraId="78D08A80" w14:textId="77777777" w:rsidTr="00771854">
        <w:trPr>
          <w:trHeight w:val="300"/>
        </w:trPr>
        <w:tc>
          <w:tcPr>
            <w:tcW w:w="2240" w:type="dxa"/>
            <w:vMerge/>
            <w:tcBorders>
              <w:top w:val="single" w:sz="8" w:space="0" w:color="auto"/>
              <w:left w:val="single" w:sz="8" w:space="0" w:color="auto"/>
              <w:bottom w:val="single" w:sz="4" w:space="0" w:color="000000"/>
              <w:right w:val="single" w:sz="4" w:space="0" w:color="auto"/>
            </w:tcBorders>
            <w:vAlign w:val="center"/>
            <w:hideMark/>
          </w:tcPr>
          <w:p w14:paraId="40DDD9A6" w14:textId="77777777" w:rsidR="000422CA" w:rsidRPr="00771854" w:rsidRDefault="000422CA" w:rsidP="00771854">
            <w:pPr>
              <w:spacing w:after="0" w:line="240" w:lineRule="auto"/>
              <w:rPr>
                <w:rFonts w:ascii="Times New Roman" w:hAnsi="Times New Roman"/>
                <w:b/>
                <w:bCs/>
                <w:color w:val="000000"/>
                <w:sz w:val="18"/>
                <w:szCs w:val="18"/>
                <w:lang w:eastAsia="hu-HU"/>
              </w:rPr>
            </w:pPr>
          </w:p>
        </w:tc>
        <w:tc>
          <w:tcPr>
            <w:tcW w:w="4360" w:type="dxa"/>
            <w:tcBorders>
              <w:top w:val="nil"/>
              <w:left w:val="nil"/>
              <w:bottom w:val="single" w:sz="4" w:space="0" w:color="auto"/>
              <w:right w:val="single" w:sz="4" w:space="0" w:color="auto"/>
            </w:tcBorders>
            <w:shd w:val="clear" w:color="000000" w:fill="FFFFFF"/>
            <w:noWrap/>
            <w:vAlign w:val="bottom"/>
            <w:hideMark/>
          </w:tcPr>
          <w:p w14:paraId="19F382DC" w14:textId="77777777" w:rsidR="000422CA" w:rsidRPr="00771854" w:rsidRDefault="000422CA" w:rsidP="00771854">
            <w:pPr>
              <w:spacing w:after="0" w:line="240" w:lineRule="auto"/>
              <w:rPr>
                <w:rFonts w:ascii="Times New Roman" w:hAnsi="Times New Roman"/>
                <w:color w:val="000000"/>
                <w:sz w:val="18"/>
                <w:szCs w:val="18"/>
                <w:lang w:eastAsia="hu-HU"/>
              </w:rPr>
            </w:pPr>
            <w:r w:rsidRPr="00771854">
              <w:rPr>
                <w:rFonts w:ascii="Times New Roman" w:hAnsi="Times New Roman"/>
                <w:color w:val="000000"/>
                <w:sz w:val="18"/>
                <w:szCs w:val="18"/>
                <w:lang w:eastAsia="hu-HU"/>
              </w:rPr>
              <w:t xml:space="preserve"> Éves átlagos hozam</w:t>
            </w:r>
          </w:p>
        </w:tc>
        <w:tc>
          <w:tcPr>
            <w:tcW w:w="1400" w:type="dxa"/>
            <w:tcBorders>
              <w:top w:val="nil"/>
              <w:left w:val="nil"/>
              <w:bottom w:val="single" w:sz="4" w:space="0" w:color="auto"/>
              <w:right w:val="single" w:sz="4" w:space="0" w:color="auto"/>
            </w:tcBorders>
            <w:shd w:val="clear" w:color="000000" w:fill="FFFFFF"/>
            <w:noWrap/>
            <w:vAlign w:val="bottom"/>
            <w:hideMark/>
          </w:tcPr>
          <w:p w14:paraId="2DEFFC54" w14:textId="77777777" w:rsidR="000422CA" w:rsidRPr="00771854" w:rsidRDefault="000422CA" w:rsidP="00771854">
            <w:pPr>
              <w:spacing w:after="0" w:line="240" w:lineRule="auto"/>
              <w:jc w:val="right"/>
              <w:rPr>
                <w:rFonts w:ascii="Times New Roman" w:hAnsi="Times New Roman"/>
                <w:color w:val="000000"/>
                <w:sz w:val="18"/>
                <w:szCs w:val="18"/>
                <w:lang w:eastAsia="hu-HU"/>
              </w:rPr>
            </w:pPr>
            <w:r w:rsidRPr="00771854">
              <w:rPr>
                <w:rFonts w:ascii="Times New Roman" w:hAnsi="Times New Roman"/>
                <w:color w:val="000000"/>
                <w:sz w:val="18"/>
                <w:szCs w:val="18"/>
                <w:lang w:eastAsia="hu-HU"/>
              </w:rPr>
              <w:t>-39,11%</w:t>
            </w:r>
          </w:p>
        </w:tc>
        <w:tc>
          <w:tcPr>
            <w:tcW w:w="1400" w:type="dxa"/>
            <w:tcBorders>
              <w:top w:val="nil"/>
              <w:left w:val="nil"/>
              <w:bottom w:val="single" w:sz="4" w:space="0" w:color="auto"/>
              <w:right w:val="single" w:sz="8" w:space="0" w:color="auto"/>
            </w:tcBorders>
            <w:shd w:val="clear" w:color="000000" w:fill="FFFFFF"/>
            <w:noWrap/>
            <w:vAlign w:val="bottom"/>
            <w:hideMark/>
          </w:tcPr>
          <w:p w14:paraId="6AAFE427" w14:textId="77777777" w:rsidR="000422CA" w:rsidRPr="00771854" w:rsidRDefault="000422CA" w:rsidP="00771854">
            <w:pPr>
              <w:spacing w:after="0" w:line="240" w:lineRule="auto"/>
              <w:jc w:val="right"/>
              <w:rPr>
                <w:rFonts w:ascii="Times New Roman" w:hAnsi="Times New Roman"/>
                <w:color w:val="000000"/>
                <w:sz w:val="18"/>
                <w:szCs w:val="18"/>
                <w:lang w:eastAsia="hu-HU"/>
              </w:rPr>
            </w:pPr>
            <w:r w:rsidRPr="00771854">
              <w:rPr>
                <w:rFonts w:ascii="Times New Roman" w:hAnsi="Times New Roman"/>
                <w:color w:val="000000"/>
                <w:sz w:val="18"/>
                <w:szCs w:val="18"/>
                <w:lang w:eastAsia="hu-HU"/>
              </w:rPr>
              <w:t>-38,75%</w:t>
            </w:r>
          </w:p>
        </w:tc>
      </w:tr>
      <w:tr w:rsidR="000422CA" w:rsidRPr="00771854" w14:paraId="5D044C9E" w14:textId="77777777" w:rsidTr="00771854">
        <w:trPr>
          <w:trHeight w:val="300"/>
        </w:trPr>
        <w:tc>
          <w:tcPr>
            <w:tcW w:w="2240"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735E44A3" w14:textId="77777777" w:rsidR="000422CA" w:rsidRPr="00771854" w:rsidRDefault="000422CA" w:rsidP="00771854">
            <w:pPr>
              <w:spacing w:after="0" w:line="240" w:lineRule="auto"/>
              <w:rPr>
                <w:rFonts w:ascii="Times New Roman" w:hAnsi="Times New Roman"/>
                <w:b/>
                <w:bCs/>
                <w:color w:val="000000"/>
                <w:sz w:val="18"/>
                <w:szCs w:val="18"/>
                <w:lang w:eastAsia="hu-HU"/>
              </w:rPr>
            </w:pPr>
            <w:r w:rsidRPr="00771854">
              <w:rPr>
                <w:rFonts w:ascii="Times New Roman" w:hAnsi="Times New Roman"/>
                <w:b/>
                <w:bCs/>
                <w:color w:val="000000"/>
                <w:sz w:val="18"/>
                <w:szCs w:val="18"/>
                <w:lang w:eastAsia="hu-HU"/>
              </w:rPr>
              <w:t xml:space="preserve"> Kedvezőtlen forgatókönyv</w:t>
            </w:r>
          </w:p>
        </w:tc>
        <w:tc>
          <w:tcPr>
            <w:tcW w:w="4360" w:type="dxa"/>
            <w:tcBorders>
              <w:top w:val="nil"/>
              <w:left w:val="nil"/>
              <w:bottom w:val="single" w:sz="4" w:space="0" w:color="auto"/>
              <w:right w:val="single" w:sz="4" w:space="0" w:color="auto"/>
            </w:tcBorders>
            <w:shd w:val="clear" w:color="000000" w:fill="FFFFFF"/>
            <w:noWrap/>
            <w:vAlign w:val="bottom"/>
            <w:hideMark/>
          </w:tcPr>
          <w:p w14:paraId="027C100A" w14:textId="77777777" w:rsidR="000422CA" w:rsidRPr="00771854" w:rsidRDefault="000422CA" w:rsidP="00771854">
            <w:pPr>
              <w:spacing w:after="0" w:line="240" w:lineRule="auto"/>
              <w:rPr>
                <w:rFonts w:ascii="Times New Roman" w:hAnsi="Times New Roman"/>
                <w:color w:val="000000"/>
                <w:sz w:val="18"/>
                <w:szCs w:val="18"/>
                <w:lang w:eastAsia="hu-HU"/>
              </w:rPr>
            </w:pPr>
            <w:r w:rsidRPr="00771854">
              <w:rPr>
                <w:rFonts w:ascii="Times New Roman" w:hAnsi="Times New Roman"/>
                <w:color w:val="000000"/>
                <w:sz w:val="18"/>
                <w:szCs w:val="18"/>
                <w:lang w:eastAsia="hu-HU"/>
              </w:rPr>
              <w:t xml:space="preserve"> Ezt az összeget kaphatja vissza a költségek levonása után</w:t>
            </w:r>
          </w:p>
        </w:tc>
        <w:tc>
          <w:tcPr>
            <w:tcW w:w="1400" w:type="dxa"/>
            <w:tcBorders>
              <w:top w:val="nil"/>
              <w:left w:val="nil"/>
              <w:bottom w:val="single" w:sz="4" w:space="0" w:color="auto"/>
              <w:right w:val="single" w:sz="4" w:space="0" w:color="auto"/>
            </w:tcBorders>
            <w:shd w:val="clear" w:color="000000" w:fill="FFFFFF"/>
            <w:noWrap/>
            <w:vAlign w:val="bottom"/>
            <w:hideMark/>
          </w:tcPr>
          <w:p w14:paraId="6C7FF59E" w14:textId="0C607978" w:rsidR="000422CA" w:rsidRPr="00771854" w:rsidRDefault="000422CA" w:rsidP="00771854">
            <w:pPr>
              <w:spacing w:after="0" w:line="240" w:lineRule="auto"/>
              <w:jc w:val="right"/>
              <w:rPr>
                <w:rFonts w:ascii="Times New Roman" w:hAnsi="Times New Roman"/>
                <w:color w:val="000000"/>
                <w:sz w:val="18"/>
                <w:szCs w:val="18"/>
                <w:lang w:eastAsia="hu-HU"/>
              </w:rPr>
            </w:pPr>
            <w:r w:rsidRPr="00771854">
              <w:rPr>
                <w:rFonts w:ascii="Times New Roman" w:hAnsi="Times New Roman"/>
                <w:color w:val="000000"/>
                <w:sz w:val="18"/>
                <w:szCs w:val="18"/>
                <w:lang w:eastAsia="hu-HU"/>
              </w:rPr>
              <w:t xml:space="preserve">2 736 635 Ft </w:t>
            </w:r>
          </w:p>
        </w:tc>
        <w:tc>
          <w:tcPr>
            <w:tcW w:w="1400" w:type="dxa"/>
            <w:tcBorders>
              <w:top w:val="nil"/>
              <w:left w:val="nil"/>
              <w:bottom w:val="single" w:sz="4" w:space="0" w:color="auto"/>
              <w:right w:val="single" w:sz="8" w:space="0" w:color="auto"/>
            </w:tcBorders>
            <w:shd w:val="clear" w:color="000000" w:fill="FFFFFF"/>
            <w:noWrap/>
            <w:vAlign w:val="bottom"/>
            <w:hideMark/>
          </w:tcPr>
          <w:p w14:paraId="03FEB221" w14:textId="7B4E780D" w:rsidR="000422CA" w:rsidRPr="00771854" w:rsidRDefault="000422CA" w:rsidP="00771854">
            <w:pPr>
              <w:spacing w:after="0" w:line="240" w:lineRule="auto"/>
              <w:jc w:val="right"/>
              <w:rPr>
                <w:rFonts w:ascii="Times New Roman" w:hAnsi="Times New Roman"/>
                <w:color w:val="000000"/>
                <w:sz w:val="18"/>
                <w:szCs w:val="18"/>
                <w:lang w:eastAsia="hu-HU"/>
              </w:rPr>
            </w:pPr>
            <w:r w:rsidRPr="00771854">
              <w:rPr>
                <w:rFonts w:ascii="Times New Roman" w:hAnsi="Times New Roman"/>
                <w:color w:val="000000"/>
                <w:sz w:val="18"/>
                <w:szCs w:val="18"/>
                <w:lang w:eastAsia="hu-HU"/>
              </w:rPr>
              <w:t xml:space="preserve">2 511 157 Ft </w:t>
            </w:r>
          </w:p>
        </w:tc>
      </w:tr>
      <w:tr w:rsidR="000422CA" w:rsidRPr="00771854" w14:paraId="1F68FBBB" w14:textId="77777777" w:rsidTr="00771854">
        <w:trPr>
          <w:trHeight w:val="300"/>
        </w:trPr>
        <w:tc>
          <w:tcPr>
            <w:tcW w:w="2240" w:type="dxa"/>
            <w:vMerge/>
            <w:tcBorders>
              <w:top w:val="nil"/>
              <w:left w:val="single" w:sz="8" w:space="0" w:color="auto"/>
              <w:bottom w:val="single" w:sz="4" w:space="0" w:color="000000"/>
              <w:right w:val="single" w:sz="4" w:space="0" w:color="auto"/>
            </w:tcBorders>
            <w:vAlign w:val="center"/>
            <w:hideMark/>
          </w:tcPr>
          <w:p w14:paraId="08FC1ED2" w14:textId="77777777" w:rsidR="000422CA" w:rsidRPr="00771854" w:rsidRDefault="000422CA" w:rsidP="00771854">
            <w:pPr>
              <w:spacing w:after="0" w:line="240" w:lineRule="auto"/>
              <w:rPr>
                <w:rFonts w:ascii="Times New Roman" w:hAnsi="Times New Roman"/>
                <w:b/>
                <w:bCs/>
                <w:color w:val="000000"/>
                <w:sz w:val="18"/>
                <w:szCs w:val="18"/>
                <w:lang w:eastAsia="hu-HU"/>
              </w:rPr>
            </w:pPr>
          </w:p>
        </w:tc>
        <w:tc>
          <w:tcPr>
            <w:tcW w:w="4360" w:type="dxa"/>
            <w:tcBorders>
              <w:top w:val="nil"/>
              <w:left w:val="nil"/>
              <w:bottom w:val="single" w:sz="4" w:space="0" w:color="auto"/>
              <w:right w:val="single" w:sz="4" w:space="0" w:color="auto"/>
            </w:tcBorders>
            <w:shd w:val="clear" w:color="000000" w:fill="FFFFFF"/>
            <w:noWrap/>
            <w:vAlign w:val="bottom"/>
            <w:hideMark/>
          </w:tcPr>
          <w:p w14:paraId="4B371476" w14:textId="77777777" w:rsidR="000422CA" w:rsidRPr="00771854" w:rsidRDefault="000422CA" w:rsidP="00771854">
            <w:pPr>
              <w:spacing w:after="0" w:line="240" w:lineRule="auto"/>
              <w:rPr>
                <w:rFonts w:ascii="Times New Roman" w:hAnsi="Times New Roman"/>
                <w:color w:val="000000"/>
                <w:sz w:val="18"/>
                <w:szCs w:val="18"/>
                <w:lang w:eastAsia="hu-HU"/>
              </w:rPr>
            </w:pPr>
            <w:r w:rsidRPr="00771854">
              <w:rPr>
                <w:rFonts w:ascii="Times New Roman" w:hAnsi="Times New Roman"/>
                <w:color w:val="000000"/>
                <w:sz w:val="18"/>
                <w:szCs w:val="18"/>
                <w:lang w:eastAsia="hu-HU"/>
              </w:rPr>
              <w:t xml:space="preserve"> Éves átlagos hozam</w:t>
            </w:r>
          </w:p>
        </w:tc>
        <w:tc>
          <w:tcPr>
            <w:tcW w:w="1400" w:type="dxa"/>
            <w:tcBorders>
              <w:top w:val="nil"/>
              <w:left w:val="nil"/>
              <w:bottom w:val="single" w:sz="4" w:space="0" w:color="auto"/>
              <w:right w:val="single" w:sz="4" w:space="0" w:color="auto"/>
            </w:tcBorders>
            <w:shd w:val="clear" w:color="000000" w:fill="FFFFFF"/>
            <w:noWrap/>
            <w:vAlign w:val="bottom"/>
            <w:hideMark/>
          </w:tcPr>
          <w:p w14:paraId="1B18D939" w14:textId="77777777" w:rsidR="000422CA" w:rsidRPr="00771854" w:rsidRDefault="000422CA" w:rsidP="00771854">
            <w:pPr>
              <w:spacing w:after="0" w:line="240" w:lineRule="auto"/>
              <w:jc w:val="right"/>
              <w:rPr>
                <w:rFonts w:ascii="Times New Roman" w:hAnsi="Times New Roman"/>
                <w:color w:val="000000"/>
                <w:sz w:val="18"/>
                <w:szCs w:val="18"/>
                <w:lang w:eastAsia="hu-HU"/>
              </w:rPr>
            </w:pPr>
            <w:r w:rsidRPr="00771854">
              <w:rPr>
                <w:rFonts w:ascii="Times New Roman" w:hAnsi="Times New Roman"/>
                <w:color w:val="000000"/>
                <w:sz w:val="18"/>
                <w:szCs w:val="18"/>
                <w:lang w:eastAsia="hu-HU"/>
              </w:rPr>
              <w:t>-33,25%</w:t>
            </w:r>
          </w:p>
        </w:tc>
        <w:tc>
          <w:tcPr>
            <w:tcW w:w="1400" w:type="dxa"/>
            <w:tcBorders>
              <w:top w:val="nil"/>
              <w:left w:val="nil"/>
              <w:bottom w:val="single" w:sz="4" w:space="0" w:color="auto"/>
              <w:right w:val="single" w:sz="8" w:space="0" w:color="auto"/>
            </w:tcBorders>
            <w:shd w:val="clear" w:color="000000" w:fill="FFFFFF"/>
            <w:noWrap/>
            <w:vAlign w:val="bottom"/>
            <w:hideMark/>
          </w:tcPr>
          <w:p w14:paraId="235217D5" w14:textId="77777777" w:rsidR="000422CA" w:rsidRPr="00771854" w:rsidRDefault="000422CA" w:rsidP="00771854">
            <w:pPr>
              <w:spacing w:after="0" w:line="240" w:lineRule="auto"/>
              <w:jc w:val="right"/>
              <w:rPr>
                <w:rFonts w:ascii="Times New Roman" w:hAnsi="Times New Roman"/>
                <w:color w:val="000000"/>
                <w:sz w:val="18"/>
                <w:szCs w:val="18"/>
                <w:lang w:eastAsia="hu-HU"/>
              </w:rPr>
            </w:pPr>
            <w:r w:rsidRPr="00771854">
              <w:rPr>
                <w:rFonts w:ascii="Times New Roman" w:hAnsi="Times New Roman"/>
                <w:color w:val="000000"/>
                <w:sz w:val="18"/>
                <w:szCs w:val="18"/>
                <w:lang w:eastAsia="hu-HU"/>
              </w:rPr>
              <w:t>-38,75%</w:t>
            </w:r>
          </w:p>
        </w:tc>
      </w:tr>
      <w:tr w:rsidR="000422CA" w:rsidRPr="00771854" w14:paraId="08E1815C" w14:textId="77777777" w:rsidTr="00771854">
        <w:trPr>
          <w:trHeight w:val="300"/>
        </w:trPr>
        <w:tc>
          <w:tcPr>
            <w:tcW w:w="2240"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198DF500" w14:textId="77777777" w:rsidR="000422CA" w:rsidRPr="00771854" w:rsidRDefault="000422CA" w:rsidP="00771854">
            <w:pPr>
              <w:spacing w:after="0" w:line="240" w:lineRule="auto"/>
              <w:rPr>
                <w:rFonts w:ascii="Times New Roman" w:hAnsi="Times New Roman"/>
                <w:b/>
                <w:bCs/>
                <w:color w:val="000000"/>
                <w:sz w:val="18"/>
                <w:szCs w:val="18"/>
                <w:lang w:eastAsia="hu-HU"/>
              </w:rPr>
            </w:pPr>
            <w:r w:rsidRPr="00771854">
              <w:rPr>
                <w:rFonts w:ascii="Times New Roman" w:hAnsi="Times New Roman"/>
                <w:b/>
                <w:bCs/>
                <w:color w:val="000000"/>
                <w:sz w:val="18"/>
                <w:szCs w:val="18"/>
                <w:lang w:eastAsia="hu-HU"/>
              </w:rPr>
              <w:t xml:space="preserve"> Mérsékelt forgatókönyv</w:t>
            </w:r>
          </w:p>
        </w:tc>
        <w:tc>
          <w:tcPr>
            <w:tcW w:w="4360" w:type="dxa"/>
            <w:tcBorders>
              <w:top w:val="nil"/>
              <w:left w:val="nil"/>
              <w:bottom w:val="single" w:sz="4" w:space="0" w:color="auto"/>
              <w:right w:val="single" w:sz="4" w:space="0" w:color="auto"/>
            </w:tcBorders>
            <w:shd w:val="clear" w:color="000000" w:fill="FFFFFF"/>
            <w:noWrap/>
            <w:vAlign w:val="bottom"/>
            <w:hideMark/>
          </w:tcPr>
          <w:p w14:paraId="75FCC016" w14:textId="77777777" w:rsidR="000422CA" w:rsidRPr="00771854" w:rsidRDefault="000422CA" w:rsidP="00771854">
            <w:pPr>
              <w:spacing w:after="0" w:line="240" w:lineRule="auto"/>
              <w:rPr>
                <w:rFonts w:ascii="Times New Roman" w:hAnsi="Times New Roman"/>
                <w:color w:val="000000"/>
                <w:sz w:val="18"/>
                <w:szCs w:val="18"/>
                <w:lang w:eastAsia="hu-HU"/>
              </w:rPr>
            </w:pPr>
            <w:r w:rsidRPr="00771854">
              <w:rPr>
                <w:rFonts w:ascii="Times New Roman" w:hAnsi="Times New Roman"/>
                <w:color w:val="000000"/>
                <w:sz w:val="18"/>
                <w:szCs w:val="18"/>
                <w:lang w:eastAsia="hu-HU"/>
              </w:rPr>
              <w:t xml:space="preserve"> Ezt az összeget kaphatja vissza a költségek levonása után</w:t>
            </w:r>
          </w:p>
        </w:tc>
        <w:tc>
          <w:tcPr>
            <w:tcW w:w="1400" w:type="dxa"/>
            <w:tcBorders>
              <w:top w:val="nil"/>
              <w:left w:val="nil"/>
              <w:bottom w:val="single" w:sz="4" w:space="0" w:color="auto"/>
              <w:right w:val="single" w:sz="4" w:space="0" w:color="auto"/>
            </w:tcBorders>
            <w:shd w:val="clear" w:color="000000" w:fill="FFFFFF"/>
            <w:noWrap/>
            <w:vAlign w:val="bottom"/>
            <w:hideMark/>
          </w:tcPr>
          <w:p w14:paraId="7C6209F1" w14:textId="6C20B60D" w:rsidR="000422CA" w:rsidRPr="00771854" w:rsidRDefault="000422CA" w:rsidP="00771854">
            <w:pPr>
              <w:spacing w:after="0" w:line="240" w:lineRule="auto"/>
              <w:jc w:val="right"/>
              <w:rPr>
                <w:rFonts w:ascii="Times New Roman" w:hAnsi="Times New Roman"/>
                <w:color w:val="000000"/>
                <w:sz w:val="18"/>
                <w:szCs w:val="18"/>
                <w:lang w:eastAsia="hu-HU"/>
              </w:rPr>
            </w:pPr>
            <w:r w:rsidRPr="00771854">
              <w:rPr>
                <w:rFonts w:ascii="Times New Roman" w:hAnsi="Times New Roman"/>
                <w:color w:val="000000"/>
                <w:sz w:val="18"/>
                <w:szCs w:val="18"/>
                <w:lang w:eastAsia="hu-HU"/>
              </w:rPr>
              <w:t xml:space="preserve">4 236 274 Ft </w:t>
            </w:r>
          </w:p>
        </w:tc>
        <w:tc>
          <w:tcPr>
            <w:tcW w:w="1400" w:type="dxa"/>
            <w:tcBorders>
              <w:top w:val="nil"/>
              <w:left w:val="nil"/>
              <w:bottom w:val="single" w:sz="4" w:space="0" w:color="auto"/>
              <w:right w:val="single" w:sz="8" w:space="0" w:color="auto"/>
            </w:tcBorders>
            <w:shd w:val="clear" w:color="000000" w:fill="FFFFFF"/>
            <w:noWrap/>
            <w:vAlign w:val="bottom"/>
            <w:hideMark/>
          </w:tcPr>
          <w:p w14:paraId="58246FCA" w14:textId="3DF4F92C" w:rsidR="000422CA" w:rsidRPr="00771854" w:rsidRDefault="000422CA" w:rsidP="00771854">
            <w:pPr>
              <w:spacing w:after="0" w:line="240" w:lineRule="auto"/>
              <w:jc w:val="right"/>
              <w:rPr>
                <w:rFonts w:ascii="Times New Roman" w:hAnsi="Times New Roman"/>
                <w:color w:val="000000"/>
                <w:sz w:val="18"/>
                <w:szCs w:val="18"/>
                <w:lang w:eastAsia="hu-HU"/>
              </w:rPr>
            </w:pPr>
            <w:r w:rsidRPr="00771854">
              <w:rPr>
                <w:rFonts w:ascii="Times New Roman" w:hAnsi="Times New Roman"/>
                <w:color w:val="000000"/>
                <w:sz w:val="18"/>
                <w:szCs w:val="18"/>
                <w:lang w:eastAsia="hu-HU"/>
              </w:rPr>
              <w:t xml:space="preserve">4 472 066 Ft </w:t>
            </w:r>
          </w:p>
        </w:tc>
      </w:tr>
      <w:tr w:rsidR="000422CA" w:rsidRPr="00771854" w14:paraId="62635AE0" w14:textId="77777777" w:rsidTr="00771854">
        <w:trPr>
          <w:trHeight w:val="300"/>
        </w:trPr>
        <w:tc>
          <w:tcPr>
            <w:tcW w:w="2240" w:type="dxa"/>
            <w:vMerge/>
            <w:tcBorders>
              <w:top w:val="nil"/>
              <w:left w:val="single" w:sz="8" w:space="0" w:color="auto"/>
              <w:bottom w:val="single" w:sz="4" w:space="0" w:color="000000"/>
              <w:right w:val="single" w:sz="4" w:space="0" w:color="auto"/>
            </w:tcBorders>
            <w:vAlign w:val="center"/>
            <w:hideMark/>
          </w:tcPr>
          <w:p w14:paraId="4E2C6C41" w14:textId="77777777" w:rsidR="000422CA" w:rsidRPr="00771854" w:rsidRDefault="000422CA" w:rsidP="00771854">
            <w:pPr>
              <w:spacing w:after="0" w:line="240" w:lineRule="auto"/>
              <w:rPr>
                <w:rFonts w:ascii="Times New Roman" w:hAnsi="Times New Roman"/>
                <w:b/>
                <w:bCs/>
                <w:color w:val="000000"/>
                <w:sz w:val="18"/>
                <w:szCs w:val="18"/>
                <w:lang w:eastAsia="hu-HU"/>
              </w:rPr>
            </w:pPr>
          </w:p>
        </w:tc>
        <w:tc>
          <w:tcPr>
            <w:tcW w:w="4360" w:type="dxa"/>
            <w:tcBorders>
              <w:top w:val="nil"/>
              <w:left w:val="nil"/>
              <w:bottom w:val="single" w:sz="4" w:space="0" w:color="auto"/>
              <w:right w:val="single" w:sz="4" w:space="0" w:color="auto"/>
            </w:tcBorders>
            <w:shd w:val="clear" w:color="000000" w:fill="FFFFFF"/>
            <w:noWrap/>
            <w:vAlign w:val="bottom"/>
            <w:hideMark/>
          </w:tcPr>
          <w:p w14:paraId="1941DE8B" w14:textId="77777777" w:rsidR="000422CA" w:rsidRPr="00771854" w:rsidRDefault="000422CA" w:rsidP="00771854">
            <w:pPr>
              <w:spacing w:after="0" w:line="240" w:lineRule="auto"/>
              <w:rPr>
                <w:rFonts w:ascii="Times New Roman" w:hAnsi="Times New Roman"/>
                <w:color w:val="000000"/>
                <w:sz w:val="18"/>
                <w:szCs w:val="18"/>
                <w:lang w:eastAsia="hu-HU"/>
              </w:rPr>
            </w:pPr>
            <w:r w:rsidRPr="00771854">
              <w:rPr>
                <w:rFonts w:ascii="Times New Roman" w:hAnsi="Times New Roman"/>
                <w:color w:val="000000"/>
                <w:sz w:val="18"/>
                <w:szCs w:val="18"/>
                <w:lang w:eastAsia="hu-HU"/>
              </w:rPr>
              <w:t xml:space="preserve"> Éves átlagos hozam</w:t>
            </w:r>
          </w:p>
        </w:tc>
        <w:tc>
          <w:tcPr>
            <w:tcW w:w="1400" w:type="dxa"/>
            <w:tcBorders>
              <w:top w:val="nil"/>
              <w:left w:val="nil"/>
              <w:bottom w:val="single" w:sz="4" w:space="0" w:color="auto"/>
              <w:right w:val="single" w:sz="4" w:space="0" w:color="auto"/>
            </w:tcBorders>
            <w:shd w:val="clear" w:color="000000" w:fill="FFFFFF"/>
            <w:noWrap/>
            <w:vAlign w:val="bottom"/>
            <w:hideMark/>
          </w:tcPr>
          <w:p w14:paraId="0F0347AD" w14:textId="77777777" w:rsidR="000422CA" w:rsidRPr="00771854" w:rsidRDefault="000422CA" w:rsidP="00771854">
            <w:pPr>
              <w:spacing w:after="0" w:line="240" w:lineRule="auto"/>
              <w:jc w:val="right"/>
              <w:rPr>
                <w:rFonts w:ascii="Times New Roman" w:hAnsi="Times New Roman"/>
                <w:color w:val="000000"/>
                <w:sz w:val="18"/>
                <w:szCs w:val="18"/>
                <w:lang w:eastAsia="hu-HU"/>
              </w:rPr>
            </w:pPr>
            <w:r w:rsidRPr="00771854">
              <w:rPr>
                <w:rFonts w:ascii="Times New Roman" w:hAnsi="Times New Roman"/>
                <w:color w:val="000000"/>
                <w:sz w:val="18"/>
                <w:szCs w:val="18"/>
                <w:lang w:eastAsia="hu-HU"/>
              </w:rPr>
              <w:t>3,32%</w:t>
            </w:r>
          </w:p>
        </w:tc>
        <w:tc>
          <w:tcPr>
            <w:tcW w:w="1400" w:type="dxa"/>
            <w:tcBorders>
              <w:top w:val="nil"/>
              <w:left w:val="nil"/>
              <w:bottom w:val="single" w:sz="4" w:space="0" w:color="auto"/>
              <w:right w:val="single" w:sz="8" w:space="0" w:color="auto"/>
            </w:tcBorders>
            <w:shd w:val="clear" w:color="000000" w:fill="FFFFFF"/>
            <w:noWrap/>
            <w:vAlign w:val="bottom"/>
            <w:hideMark/>
          </w:tcPr>
          <w:p w14:paraId="0BE16EC6" w14:textId="77777777" w:rsidR="000422CA" w:rsidRPr="00771854" w:rsidRDefault="000422CA" w:rsidP="00771854">
            <w:pPr>
              <w:spacing w:after="0" w:line="240" w:lineRule="auto"/>
              <w:jc w:val="right"/>
              <w:rPr>
                <w:rFonts w:ascii="Times New Roman" w:hAnsi="Times New Roman"/>
                <w:color w:val="000000"/>
                <w:sz w:val="18"/>
                <w:szCs w:val="18"/>
                <w:lang w:eastAsia="hu-HU"/>
              </w:rPr>
            </w:pPr>
            <w:r w:rsidRPr="00771854">
              <w:rPr>
                <w:rFonts w:ascii="Times New Roman" w:hAnsi="Times New Roman"/>
                <w:color w:val="000000"/>
                <w:sz w:val="18"/>
                <w:szCs w:val="18"/>
                <w:lang w:eastAsia="hu-HU"/>
              </w:rPr>
              <w:t>9,07%</w:t>
            </w:r>
          </w:p>
        </w:tc>
      </w:tr>
      <w:tr w:rsidR="000422CA" w:rsidRPr="00771854" w14:paraId="7FE37A74" w14:textId="77777777" w:rsidTr="00771854">
        <w:trPr>
          <w:trHeight w:val="300"/>
        </w:trPr>
        <w:tc>
          <w:tcPr>
            <w:tcW w:w="2240"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18A21F04" w14:textId="77777777" w:rsidR="000422CA" w:rsidRPr="00771854" w:rsidRDefault="000422CA" w:rsidP="00771854">
            <w:pPr>
              <w:spacing w:after="0" w:line="240" w:lineRule="auto"/>
              <w:rPr>
                <w:rFonts w:ascii="Times New Roman" w:hAnsi="Times New Roman"/>
                <w:b/>
                <w:bCs/>
                <w:color w:val="000000"/>
                <w:sz w:val="18"/>
                <w:szCs w:val="18"/>
                <w:lang w:eastAsia="hu-HU"/>
              </w:rPr>
            </w:pPr>
            <w:r w:rsidRPr="00771854">
              <w:rPr>
                <w:rFonts w:ascii="Times New Roman" w:hAnsi="Times New Roman"/>
                <w:b/>
                <w:bCs/>
                <w:color w:val="000000"/>
                <w:sz w:val="18"/>
                <w:szCs w:val="18"/>
                <w:lang w:eastAsia="hu-HU"/>
              </w:rPr>
              <w:t xml:space="preserve"> Kedvező forgatókönyv</w:t>
            </w:r>
          </w:p>
        </w:tc>
        <w:tc>
          <w:tcPr>
            <w:tcW w:w="4360" w:type="dxa"/>
            <w:tcBorders>
              <w:top w:val="nil"/>
              <w:left w:val="nil"/>
              <w:bottom w:val="single" w:sz="4" w:space="0" w:color="auto"/>
              <w:right w:val="single" w:sz="4" w:space="0" w:color="auto"/>
            </w:tcBorders>
            <w:shd w:val="clear" w:color="000000" w:fill="FFFFFF"/>
            <w:noWrap/>
            <w:vAlign w:val="bottom"/>
            <w:hideMark/>
          </w:tcPr>
          <w:p w14:paraId="1E8C958D" w14:textId="77777777" w:rsidR="000422CA" w:rsidRPr="00771854" w:rsidRDefault="000422CA" w:rsidP="00771854">
            <w:pPr>
              <w:spacing w:after="0" w:line="240" w:lineRule="auto"/>
              <w:rPr>
                <w:rFonts w:ascii="Times New Roman" w:hAnsi="Times New Roman"/>
                <w:color w:val="000000"/>
                <w:sz w:val="18"/>
                <w:szCs w:val="18"/>
                <w:lang w:eastAsia="hu-HU"/>
              </w:rPr>
            </w:pPr>
            <w:r w:rsidRPr="00771854">
              <w:rPr>
                <w:rFonts w:ascii="Times New Roman" w:hAnsi="Times New Roman"/>
                <w:color w:val="000000"/>
                <w:sz w:val="18"/>
                <w:szCs w:val="18"/>
                <w:lang w:eastAsia="hu-HU"/>
              </w:rPr>
              <w:t xml:space="preserve"> Ezt az összeget kaphatja vissza a költségek levonása után</w:t>
            </w:r>
          </w:p>
        </w:tc>
        <w:tc>
          <w:tcPr>
            <w:tcW w:w="1400" w:type="dxa"/>
            <w:tcBorders>
              <w:top w:val="nil"/>
              <w:left w:val="nil"/>
              <w:bottom w:val="single" w:sz="4" w:space="0" w:color="auto"/>
              <w:right w:val="single" w:sz="4" w:space="0" w:color="auto"/>
            </w:tcBorders>
            <w:shd w:val="clear" w:color="000000" w:fill="FFFFFF"/>
            <w:noWrap/>
            <w:vAlign w:val="bottom"/>
            <w:hideMark/>
          </w:tcPr>
          <w:p w14:paraId="12520570" w14:textId="1D65705C" w:rsidR="000422CA" w:rsidRPr="00771854" w:rsidRDefault="000422CA" w:rsidP="00771854">
            <w:pPr>
              <w:spacing w:after="0" w:line="240" w:lineRule="auto"/>
              <w:jc w:val="right"/>
              <w:rPr>
                <w:rFonts w:ascii="Times New Roman" w:hAnsi="Times New Roman"/>
                <w:color w:val="000000"/>
                <w:sz w:val="18"/>
                <w:szCs w:val="18"/>
                <w:lang w:eastAsia="hu-HU"/>
              </w:rPr>
            </w:pPr>
            <w:r w:rsidRPr="00771854">
              <w:rPr>
                <w:rFonts w:ascii="Times New Roman" w:hAnsi="Times New Roman"/>
                <w:color w:val="000000"/>
                <w:sz w:val="18"/>
                <w:szCs w:val="18"/>
                <w:lang w:eastAsia="hu-HU"/>
              </w:rPr>
              <w:t xml:space="preserve">4 729 102 Ft </w:t>
            </w:r>
          </w:p>
        </w:tc>
        <w:tc>
          <w:tcPr>
            <w:tcW w:w="1400" w:type="dxa"/>
            <w:tcBorders>
              <w:top w:val="nil"/>
              <w:left w:val="nil"/>
              <w:bottom w:val="single" w:sz="4" w:space="0" w:color="auto"/>
              <w:right w:val="single" w:sz="8" w:space="0" w:color="auto"/>
            </w:tcBorders>
            <w:shd w:val="clear" w:color="000000" w:fill="FFFFFF"/>
            <w:noWrap/>
            <w:vAlign w:val="bottom"/>
            <w:hideMark/>
          </w:tcPr>
          <w:p w14:paraId="6FA74A8A" w14:textId="7A07EEEA" w:rsidR="000422CA" w:rsidRPr="00771854" w:rsidRDefault="000422CA" w:rsidP="00771854">
            <w:pPr>
              <w:spacing w:after="0" w:line="240" w:lineRule="auto"/>
              <w:jc w:val="right"/>
              <w:rPr>
                <w:rFonts w:ascii="Times New Roman" w:hAnsi="Times New Roman"/>
                <w:color w:val="000000"/>
                <w:sz w:val="18"/>
                <w:szCs w:val="18"/>
                <w:lang w:eastAsia="hu-HU"/>
              </w:rPr>
            </w:pPr>
            <w:r w:rsidRPr="00771854">
              <w:rPr>
                <w:rFonts w:ascii="Times New Roman" w:hAnsi="Times New Roman"/>
                <w:color w:val="000000"/>
                <w:sz w:val="18"/>
                <w:szCs w:val="18"/>
                <w:lang w:eastAsia="hu-HU"/>
              </w:rPr>
              <w:t xml:space="preserve">5 103 686 Ft </w:t>
            </w:r>
          </w:p>
        </w:tc>
      </w:tr>
      <w:tr w:rsidR="000422CA" w:rsidRPr="00771854" w14:paraId="46C49383" w14:textId="77777777" w:rsidTr="00771854">
        <w:trPr>
          <w:trHeight w:val="315"/>
        </w:trPr>
        <w:tc>
          <w:tcPr>
            <w:tcW w:w="2240" w:type="dxa"/>
            <w:vMerge/>
            <w:tcBorders>
              <w:top w:val="nil"/>
              <w:left w:val="single" w:sz="8" w:space="0" w:color="auto"/>
              <w:bottom w:val="single" w:sz="8" w:space="0" w:color="000000"/>
              <w:right w:val="single" w:sz="4" w:space="0" w:color="auto"/>
            </w:tcBorders>
            <w:vAlign w:val="center"/>
            <w:hideMark/>
          </w:tcPr>
          <w:p w14:paraId="54DDAAC0" w14:textId="77777777" w:rsidR="000422CA" w:rsidRPr="00771854" w:rsidRDefault="000422CA" w:rsidP="00771854">
            <w:pPr>
              <w:spacing w:after="0" w:line="240" w:lineRule="auto"/>
              <w:rPr>
                <w:rFonts w:ascii="Times New Roman" w:hAnsi="Times New Roman"/>
                <w:b/>
                <w:bCs/>
                <w:color w:val="000000"/>
                <w:sz w:val="18"/>
                <w:szCs w:val="18"/>
                <w:lang w:eastAsia="hu-HU"/>
              </w:rPr>
            </w:pPr>
          </w:p>
        </w:tc>
        <w:tc>
          <w:tcPr>
            <w:tcW w:w="4360" w:type="dxa"/>
            <w:tcBorders>
              <w:top w:val="nil"/>
              <w:left w:val="nil"/>
              <w:bottom w:val="single" w:sz="8" w:space="0" w:color="auto"/>
              <w:right w:val="single" w:sz="4" w:space="0" w:color="auto"/>
            </w:tcBorders>
            <w:shd w:val="clear" w:color="000000" w:fill="FFFFFF"/>
            <w:noWrap/>
            <w:vAlign w:val="bottom"/>
            <w:hideMark/>
          </w:tcPr>
          <w:p w14:paraId="56EC7645" w14:textId="77777777" w:rsidR="000422CA" w:rsidRPr="00771854" w:rsidRDefault="000422CA" w:rsidP="00771854">
            <w:pPr>
              <w:spacing w:after="0" w:line="240" w:lineRule="auto"/>
              <w:rPr>
                <w:rFonts w:ascii="Times New Roman" w:hAnsi="Times New Roman"/>
                <w:color w:val="000000"/>
                <w:sz w:val="18"/>
                <w:szCs w:val="18"/>
                <w:lang w:eastAsia="hu-HU"/>
              </w:rPr>
            </w:pPr>
            <w:r w:rsidRPr="00771854">
              <w:rPr>
                <w:rFonts w:ascii="Times New Roman" w:hAnsi="Times New Roman"/>
                <w:color w:val="000000"/>
                <w:sz w:val="18"/>
                <w:szCs w:val="18"/>
                <w:lang w:eastAsia="hu-HU"/>
              </w:rPr>
              <w:t xml:space="preserve"> Éves átlagos hozam</w:t>
            </w:r>
          </w:p>
        </w:tc>
        <w:tc>
          <w:tcPr>
            <w:tcW w:w="1400" w:type="dxa"/>
            <w:tcBorders>
              <w:top w:val="nil"/>
              <w:left w:val="nil"/>
              <w:bottom w:val="single" w:sz="8" w:space="0" w:color="auto"/>
              <w:right w:val="single" w:sz="4" w:space="0" w:color="auto"/>
            </w:tcBorders>
            <w:shd w:val="clear" w:color="000000" w:fill="FFFFFF"/>
            <w:noWrap/>
            <w:vAlign w:val="bottom"/>
            <w:hideMark/>
          </w:tcPr>
          <w:p w14:paraId="48820BD5" w14:textId="77777777" w:rsidR="000422CA" w:rsidRPr="00771854" w:rsidRDefault="000422CA" w:rsidP="00771854">
            <w:pPr>
              <w:spacing w:after="0" w:line="240" w:lineRule="auto"/>
              <w:jc w:val="right"/>
              <w:rPr>
                <w:rFonts w:ascii="Times New Roman" w:hAnsi="Times New Roman"/>
                <w:color w:val="000000"/>
                <w:sz w:val="18"/>
                <w:szCs w:val="18"/>
                <w:lang w:eastAsia="hu-HU"/>
              </w:rPr>
            </w:pPr>
            <w:r w:rsidRPr="00771854">
              <w:rPr>
                <w:rFonts w:ascii="Times New Roman" w:hAnsi="Times New Roman"/>
                <w:color w:val="000000"/>
                <w:sz w:val="18"/>
                <w:szCs w:val="18"/>
                <w:lang w:eastAsia="hu-HU"/>
              </w:rPr>
              <w:t>15,34%</w:t>
            </w:r>
          </w:p>
        </w:tc>
        <w:tc>
          <w:tcPr>
            <w:tcW w:w="1400" w:type="dxa"/>
            <w:tcBorders>
              <w:top w:val="nil"/>
              <w:left w:val="nil"/>
              <w:bottom w:val="single" w:sz="8" w:space="0" w:color="auto"/>
              <w:right w:val="single" w:sz="8" w:space="0" w:color="auto"/>
            </w:tcBorders>
            <w:shd w:val="clear" w:color="000000" w:fill="FFFFFF"/>
            <w:noWrap/>
            <w:vAlign w:val="bottom"/>
            <w:hideMark/>
          </w:tcPr>
          <w:p w14:paraId="400CD141" w14:textId="77777777" w:rsidR="000422CA" w:rsidRPr="00771854" w:rsidRDefault="000422CA" w:rsidP="00771854">
            <w:pPr>
              <w:spacing w:after="0" w:line="240" w:lineRule="auto"/>
              <w:jc w:val="right"/>
              <w:rPr>
                <w:rFonts w:ascii="Times New Roman" w:hAnsi="Times New Roman"/>
                <w:color w:val="000000"/>
                <w:sz w:val="18"/>
                <w:szCs w:val="18"/>
                <w:lang w:eastAsia="hu-HU"/>
              </w:rPr>
            </w:pPr>
            <w:r w:rsidRPr="00771854">
              <w:rPr>
                <w:rFonts w:ascii="Times New Roman" w:hAnsi="Times New Roman"/>
                <w:color w:val="000000"/>
                <w:sz w:val="18"/>
                <w:szCs w:val="18"/>
                <w:lang w:eastAsia="hu-HU"/>
              </w:rPr>
              <w:t>24,48%</w:t>
            </w:r>
          </w:p>
        </w:tc>
      </w:tr>
    </w:tbl>
    <w:p w14:paraId="0F9DE816" w14:textId="77777777" w:rsidR="000422CA" w:rsidRPr="00771854" w:rsidRDefault="000422CA" w:rsidP="00771854">
      <w:pPr>
        <w:autoSpaceDE w:val="0"/>
        <w:autoSpaceDN w:val="0"/>
        <w:adjustRightInd w:val="0"/>
        <w:spacing w:after="0" w:line="240" w:lineRule="auto"/>
        <w:ind w:left="-426"/>
        <w:jc w:val="both"/>
        <w:rPr>
          <w:rFonts w:ascii="Times New Roman" w:hAnsi="Times New Roman"/>
          <w:bCs/>
          <w:sz w:val="18"/>
          <w:szCs w:val="18"/>
        </w:rPr>
      </w:pPr>
    </w:p>
    <w:p w14:paraId="19F8D247" w14:textId="77777777" w:rsidR="007F2B90" w:rsidRPr="00771854" w:rsidRDefault="007F2B90" w:rsidP="00771854">
      <w:pPr>
        <w:autoSpaceDE w:val="0"/>
        <w:autoSpaceDN w:val="0"/>
        <w:adjustRightInd w:val="0"/>
        <w:spacing w:after="0" w:line="240" w:lineRule="auto"/>
        <w:ind w:left="-426"/>
        <w:jc w:val="both"/>
        <w:rPr>
          <w:rFonts w:ascii="Times New Roman" w:hAnsi="Times New Roman"/>
          <w:bCs/>
          <w:sz w:val="18"/>
          <w:szCs w:val="18"/>
        </w:rPr>
      </w:pPr>
      <w:r w:rsidRPr="00771854">
        <w:rPr>
          <w:rFonts w:ascii="Times New Roman" w:hAnsi="Times New Roman"/>
          <w:bCs/>
          <w:sz w:val="18"/>
          <w:szCs w:val="18"/>
        </w:rPr>
        <w:t>A stresszforgatókönyv bemutatja, hogy szélsőséges piaci körülmények esetén mekkora összeget kaphat vissza.</w:t>
      </w:r>
    </w:p>
    <w:p w14:paraId="79A7B69F" w14:textId="11CDA9C3" w:rsidR="007F2B90" w:rsidRPr="00771854" w:rsidRDefault="007F2B90" w:rsidP="00771854">
      <w:pPr>
        <w:autoSpaceDE w:val="0"/>
        <w:autoSpaceDN w:val="0"/>
        <w:adjustRightInd w:val="0"/>
        <w:spacing w:after="0" w:line="240" w:lineRule="auto"/>
        <w:ind w:left="-426"/>
        <w:jc w:val="both"/>
        <w:rPr>
          <w:rFonts w:ascii="Times New Roman" w:hAnsi="Times New Roman"/>
          <w:bCs/>
          <w:sz w:val="18"/>
          <w:szCs w:val="18"/>
        </w:rPr>
      </w:pPr>
      <w:r w:rsidRPr="00771854">
        <w:rPr>
          <w:rFonts w:ascii="Times New Roman" w:hAnsi="Times New Roman"/>
          <w:bCs/>
          <w:sz w:val="18"/>
          <w:szCs w:val="18"/>
        </w:rPr>
        <w:t>A kedvezőtlen, a mérsékelt és a kedvező forgatókönyvtípusok 2013 és 2023 között 1 éves, illetve 3 éves időtávon végrehajtott</w:t>
      </w:r>
    </w:p>
    <w:p w14:paraId="753DC37E" w14:textId="7687E915" w:rsidR="00F61EF1" w:rsidRPr="00771854" w:rsidRDefault="007F2B90" w:rsidP="00771854">
      <w:pPr>
        <w:autoSpaceDE w:val="0"/>
        <w:autoSpaceDN w:val="0"/>
        <w:adjustRightInd w:val="0"/>
        <w:spacing w:after="0" w:line="240" w:lineRule="auto"/>
        <w:ind w:left="-426"/>
        <w:jc w:val="both"/>
        <w:rPr>
          <w:rFonts w:ascii="Times New Roman" w:hAnsi="Times New Roman"/>
          <w:bCs/>
          <w:sz w:val="18"/>
          <w:szCs w:val="18"/>
        </w:rPr>
      </w:pPr>
      <w:r w:rsidRPr="00771854">
        <w:rPr>
          <w:rFonts w:ascii="Times New Roman" w:hAnsi="Times New Roman"/>
          <w:bCs/>
          <w:sz w:val="18"/>
          <w:szCs w:val="18"/>
        </w:rPr>
        <w:t xml:space="preserve">befektetésekre vonatkoznak. </w:t>
      </w:r>
    </w:p>
    <w:p w14:paraId="5D81AF15" w14:textId="77777777" w:rsidR="00F61EF1" w:rsidRPr="00771854" w:rsidRDefault="00F61EF1" w:rsidP="00771854">
      <w:pPr>
        <w:pStyle w:val="Kiemeltidzet"/>
        <w:spacing w:before="0" w:after="0" w:line="240" w:lineRule="auto"/>
        <w:ind w:left="-426" w:right="0"/>
        <w:rPr>
          <w:rFonts w:ascii="Times New Roman" w:hAnsi="Times New Roman"/>
          <w:b/>
          <w:sz w:val="24"/>
          <w:szCs w:val="24"/>
        </w:rPr>
      </w:pPr>
      <w:r w:rsidRPr="00771854">
        <w:rPr>
          <w:rFonts w:ascii="Times New Roman" w:hAnsi="Times New Roman"/>
          <w:b/>
          <w:sz w:val="24"/>
          <w:szCs w:val="24"/>
        </w:rPr>
        <w:t xml:space="preserve">Mi történik, ha az alapkezelő nem tud fizetni? </w:t>
      </w:r>
    </w:p>
    <w:p w14:paraId="5326B1A3" w14:textId="77777777" w:rsidR="00F61EF1" w:rsidRPr="00771854" w:rsidRDefault="00F61EF1" w:rsidP="00771854">
      <w:pPr>
        <w:pStyle w:val="Kiemeltidzet"/>
        <w:spacing w:before="0" w:after="0" w:line="240" w:lineRule="auto"/>
        <w:ind w:left="-426" w:right="0"/>
        <w:rPr>
          <w:rFonts w:ascii="Times New Roman" w:hAnsi="Times New Roman"/>
          <w:b/>
          <w:sz w:val="24"/>
          <w:szCs w:val="24"/>
        </w:rPr>
        <w:sectPr w:rsidR="00F61EF1" w:rsidRPr="00771854" w:rsidSect="00B37287">
          <w:type w:val="continuous"/>
          <w:pgSz w:w="11906" w:h="16838"/>
          <w:pgMar w:top="851" w:right="991" w:bottom="1417" w:left="1417" w:header="708" w:footer="708" w:gutter="0"/>
          <w:cols w:space="708"/>
          <w:rtlGutter/>
          <w:docGrid w:linePitch="360"/>
        </w:sectPr>
      </w:pPr>
    </w:p>
    <w:p w14:paraId="0E79A178" w14:textId="77777777" w:rsidR="00F61EF1" w:rsidRPr="00771854" w:rsidRDefault="00F61EF1" w:rsidP="00771854">
      <w:pPr>
        <w:autoSpaceDE w:val="0"/>
        <w:autoSpaceDN w:val="0"/>
        <w:adjustRightInd w:val="0"/>
        <w:spacing w:after="0" w:line="240" w:lineRule="auto"/>
        <w:ind w:left="-426"/>
        <w:jc w:val="both"/>
        <w:rPr>
          <w:rFonts w:ascii="Times New Roman" w:hAnsi="Times New Roman"/>
          <w:bCs/>
          <w:sz w:val="18"/>
          <w:szCs w:val="20"/>
        </w:rPr>
      </w:pPr>
      <w:r w:rsidRPr="00771854">
        <w:rPr>
          <w:rFonts w:ascii="Times New Roman" w:hAnsi="Times New Roman"/>
          <w:bCs/>
          <w:sz w:val="18"/>
          <w:szCs w:val="20"/>
        </w:rPr>
        <w:t>Az Alap egy speciális vagyontömeg, amely elkülönül az Alapot kezelő társaság vagyonától. Ezért az alapkezelő társasággal kapcsolatban nem áll fenn nemteljesítési kockázat (</w:t>
      </w:r>
      <w:proofErr w:type="gramStart"/>
      <w:r w:rsidRPr="00771854">
        <w:rPr>
          <w:rFonts w:ascii="Times New Roman" w:hAnsi="Times New Roman"/>
          <w:bCs/>
          <w:sz w:val="18"/>
          <w:szCs w:val="20"/>
        </w:rPr>
        <w:t>pl.</w:t>
      </w:r>
      <w:proofErr w:type="gramEnd"/>
      <w:r w:rsidRPr="00771854">
        <w:rPr>
          <w:rFonts w:ascii="Times New Roman" w:hAnsi="Times New Roman"/>
          <w:bCs/>
          <w:sz w:val="18"/>
          <w:szCs w:val="20"/>
        </w:rPr>
        <w:t xml:space="preserve"> ha fizetésképtelenné válik). A befektetésijegy-tulajdonosok az Alap vagyonának résztulajdonosai.</w:t>
      </w:r>
    </w:p>
    <w:p w14:paraId="6B34379B" w14:textId="77777777" w:rsidR="00F61EF1" w:rsidRPr="00771854" w:rsidRDefault="00F61EF1" w:rsidP="00771854">
      <w:pPr>
        <w:autoSpaceDE w:val="0"/>
        <w:autoSpaceDN w:val="0"/>
        <w:adjustRightInd w:val="0"/>
        <w:spacing w:after="0" w:line="240" w:lineRule="auto"/>
        <w:ind w:left="-426"/>
        <w:jc w:val="both"/>
        <w:rPr>
          <w:rFonts w:ascii="Times New Roman" w:hAnsi="Times New Roman"/>
          <w:sz w:val="18"/>
          <w:szCs w:val="20"/>
        </w:rPr>
      </w:pPr>
      <w:r w:rsidRPr="00771854">
        <w:rPr>
          <w:rFonts w:ascii="Times New Roman" w:hAnsi="Times New Roman"/>
          <w:bCs/>
          <w:sz w:val="18"/>
          <w:szCs w:val="20"/>
        </w:rPr>
        <w:t xml:space="preserve">A lakossági befektetőnek pénzügyi vesztesége keletkezhet az Alap nemteljesítése miatt. Ezen veszteséget nem fedezi sem befektetővédelmi rendszer, sem garanciarendszer. </w:t>
      </w:r>
      <w:r w:rsidRPr="00771854">
        <w:rPr>
          <w:rFonts w:ascii="Times New Roman" w:hAnsi="Times New Roman"/>
          <w:sz w:val="18"/>
          <w:szCs w:val="20"/>
        </w:rPr>
        <w:t>Amennyiben a lakossági befektetőnek az Alap forgalmazójával vagy az értékpapírszámla-vezető befektetési szolgáltatójával kötött szerződése alapján a befektető nevén nyilvántartott értékpapírt a szerződött szolgáltató a befektető számára nem tudja kiadni, a Befektető-védelmi Alap (BEVA) vállal kártalanítási kötelezettséget, a BEVA tagjának birtokába került és a befektető nevén nyilvántartott vagyon (értékpapír, pénz) kiadására vonatkozóan. A BEVA által nyújtott biztosítás kizárólag a tagsági jogviszony fennállása alatt kötött és biztosított szerződésből eredő követelésekre terjed ki. A BEVA által nyújtott biztosítás nem terjed ki az olyan ügyletből eredő követelésre sem, amely esetében a bíróság jogerős ügydöntő határozata megállapította, hogy a befektetés forrása bűncselekményből származott, továbbá az olyan ügyletekből eredő pénzkövetelésre sem, amely nem euróban, vagy az Európai Unió, illetve az OECD tagállamának törvényes fizetőeszközében áll fenn. Kártalanítás megállapítására a befektető erre irányuló kérelme alapján kerül sor, melyet a befektető az igényérvényesítés első napjától számított egy éven belül terjesztheti elő. A BEVA a kártalanításra jogosult befektető részére követelését - személyenként és BEVA tagonként összevontan - legfeljebb 100.000 euró összeghatárig fizeti ki kártalanításként. A BEVA által fizetett kártalanítás mértéke 1.000.000 forint összeghatárig 100%, afelett 1.000.000 forint és az afeletti rész 90%-a.</w:t>
      </w:r>
    </w:p>
    <w:p w14:paraId="4D462C4B" w14:textId="77777777" w:rsidR="00F61EF1" w:rsidRPr="00771854" w:rsidRDefault="00F61EF1" w:rsidP="00771854">
      <w:pPr>
        <w:autoSpaceDE w:val="0"/>
        <w:autoSpaceDN w:val="0"/>
        <w:adjustRightInd w:val="0"/>
        <w:spacing w:after="0" w:line="240" w:lineRule="auto"/>
        <w:ind w:left="-426"/>
        <w:jc w:val="both"/>
        <w:rPr>
          <w:rFonts w:ascii="Times New Roman" w:hAnsi="Times New Roman"/>
          <w:bCs/>
          <w:sz w:val="20"/>
          <w:szCs w:val="20"/>
        </w:rPr>
      </w:pPr>
      <w:r w:rsidRPr="00771854">
        <w:rPr>
          <w:rFonts w:ascii="Times New Roman" w:hAnsi="Times New Roman"/>
          <w:sz w:val="18"/>
          <w:szCs w:val="20"/>
        </w:rPr>
        <w:t>Az Alap letétkezelője felelős az Alap letétbe helyezett pénzügyi eszközeinek a letétkezelő, vagy a letétkezeléssel megbízott harmadik fél általi – a vonatkozó jogszabályokban meghatározott esetekben megvalósuló - elvesztéséért. A letétben őrzött pénzügyi eszközök elvesztése esetén a letétkezelő indokolatlan késedelem nélkül ugyanolyan típusú pénzügyi eszközöket vagy az eszközöknek megfelelő pénzösszeget köteles az Alap rendelkezésére bocsátani.</w:t>
      </w:r>
    </w:p>
    <w:p w14:paraId="181E242C" w14:textId="77777777" w:rsidR="00F61EF1" w:rsidRPr="00771854" w:rsidRDefault="00F61EF1" w:rsidP="00771854">
      <w:pPr>
        <w:pStyle w:val="Kiemeltidzet"/>
        <w:spacing w:before="0" w:after="0" w:line="240" w:lineRule="auto"/>
        <w:ind w:left="-426" w:right="0"/>
        <w:rPr>
          <w:rFonts w:ascii="Times New Roman" w:hAnsi="Times New Roman"/>
          <w:b/>
          <w:sz w:val="24"/>
          <w:szCs w:val="24"/>
        </w:rPr>
      </w:pPr>
      <w:r w:rsidRPr="00771854">
        <w:rPr>
          <w:rFonts w:ascii="Times New Roman" w:hAnsi="Times New Roman"/>
          <w:b/>
          <w:sz w:val="24"/>
          <w:szCs w:val="24"/>
        </w:rPr>
        <w:t xml:space="preserve">milyen költségek merülnek fel? </w:t>
      </w:r>
    </w:p>
    <w:p w14:paraId="575E672D" w14:textId="77777777" w:rsidR="00F61EF1" w:rsidRPr="00771854" w:rsidRDefault="00F61EF1" w:rsidP="00771854">
      <w:pPr>
        <w:pStyle w:val="Kiemeltidzet"/>
        <w:spacing w:before="0" w:after="0" w:line="240" w:lineRule="auto"/>
        <w:ind w:left="-426" w:right="0"/>
        <w:rPr>
          <w:rFonts w:ascii="Times New Roman" w:hAnsi="Times New Roman"/>
          <w:b/>
          <w:sz w:val="24"/>
          <w:szCs w:val="24"/>
        </w:rPr>
        <w:sectPr w:rsidR="00F61EF1" w:rsidRPr="00771854" w:rsidSect="00B37287">
          <w:type w:val="continuous"/>
          <w:pgSz w:w="11906" w:h="16838"/>
          <w:pgMar w:top="851" w:right="991" w:bottom="1417" w:left="1417" w:header="708" w:footer="708" w:gutter="0"/>
          <w:cols w:space="708"/>
          <w:rtlGutter/>
          <w:docGrid w:linePitch="360"/>
        </w:sectPr>
      </w:pPr>
    </w:p>
    <w:p w14:paraId="5BA91638" w14:textId="77777777" w:rsidR="00F61EF1" w:rsidRPr="00771854" w:rsidRDefault="00F61EF1" w:rsidP="00771854">
      <w:pPr>
        <w:autoSpaceDE w:val="0"/>
        <w:autoSpaceDN w:val="0"/>
        <w:adjustRightInd w:val="0"/>
        <w:spacing w:after="60" w:line="240" w:lineRule="auto"/>
        <w:ind w:left="-426"/>
        <w:jc w:val="both"/>
        <w:rPr>
          <w:rFonts w:ascii="Times New Roman" w:hAnsi="Times New Roman"/>
          <w:sz w:val="18"/>
          <w:szCs w:val="18"/>
        </w:rPr>
      </w:pPr>
      <w:r w:rsidRPr="00771854">
        <w:rPr>
          <w:rFonts w:ascii="Times New Roman" w:hAnsi="Times New Roman"/>
          <w:sz w:val="18"/>
          <w:szCs w:val="18"/>
        </w:rPr>
        <w:t xml:space="preserve">A termékről Önnek tanácsot adó vagy azt Önnek értékesítő személy egyéb költségeket is felszámíthat. Ebben az esetben az adott személy tájékoztatja Önt ezekről a költségekről és arról, hogy azok milyen hatással vannak az Ön befektetésére. </w:t>
      </w:r>
    </w:p>
    <w:p w14:paraId="4F8F8DCA" w14:textId="77777777" w:rsidR="00F61EF1" w:rsidRPr="00771854" w:rsidRDefault="00F61EF1" w:rsidP="00771854">
      <w:pPr>
        <w:autoSpaceDE w:val="0"/>
        <w:autoSpaceDN w:val="0"/>
        <w:adjustRightInd w:val="0"/>
        <w:spacing w:after="60" w:line="240" w:lineRule="auto"/>
        <w:ind w:left="-426"/>
        <w:jc w:val="both"/>
        <w:rPr>
          <w:rFonts w:ascii="Times New Roman" w:hAnsi="Times New Roman"/>
          <w:sz w:val="18"/>
          <w:szCs w:val="18"/>
          <w:u w:val="single"/>
        </w:rPr>
      </w:pPr>
      <w:r w:rsidRPr="00771854">
        <w:rPr>
          <w:rFonts w:ascii="Times New Roman" w:hAnsi="Times New Roman"/>
          <w:sz w:val="18"/>
          <w:szCs w:val="18"/>
          <w:u w:val="single"/>
        </w:rPr>
        <w:t xml:space="preserve">A költségek időbeli alakulása: </w:t>
      </w:r>
    </w:p>
    <w:p w14:paraId="513F5F0A" w14:textId="77777777" w:rsidR="00F61EF1" w:rsidRPr="00771854" w:rsidRDefault="00F61EF1" w:rsidP="00771854">
      <w:pPr>
        <w:autoSpaceDE w:val="0"/>
        <w:autoSpaceDN w:val="0"/>
        <w:adjustRightInd w:val="0"/>
        <w:spacing w:after="60" w:line="240" w:lineRule="auto"/>
        <w:ind w:left="-426"/>
        <w:jc w:val="both"/>
        <w:rPr>
          <w:rFonts w:ascii="Times New Roman" w:hAnsi="Times New Roman"/>
          <w:sz w:val="18"/>
          <w:szCs w:val="18"/>
        </w:rPr>
      </w:pPr>
      <w:r w:rsidRPr="00771854">
        <w:rPr>
          <w:rFonts w:ascii="Times New Roman" w:hAnsi="Times New Roman"/>
          <w:sz w:val="18"/>
          <w:szCs w:val="18"/>
        </w:rPr>
        <w:t xml:space="preserve">A táblázatok azokat az összegeket mutatják be, amelyeket az Ön befektetéséből a különböző költségtípusok fedezésére fordítanak. Ezek az összegek attól </w:t>
      </w:r>
      <w:proofErr w:type="spellStart"/>
      <w:r w:rsidRPr="00771854">
        <w:rPr>
          <w:rFonts w:ascii="Times New Roman" w:hAnsi="Times New Roman"/>
          <w:sz w:val="18"/>
          <w:szCs w:val="18"/>
        </w:rPr>
        <w:t>függnek</w:t>
      </w:r>
      <w:proofErr w:type="spellEnd"/>
      <w:r w:rsidRPr="00771854">
        <w:rPr>
          <w:rFonts w:ascii="Times New Roman" w:hAnsi="Times New Roman"/>
          <w:sz w:val="18"/>
          <w:szCs w:val="18"/>
        </w:rPr>
        <w:t>, hogy Ön mennyit fektet be, mennyi ideig tartja a terméket és mennyire jó a termék teljesítménye. Az itt feltüntetett összegek egy befektetési példán és a különböző lehetséges befektetési időszakokon alapuló illusztrációk.</w:t>
      </w:r>
    </w:p>
    <w:p w14:paraId="072DF414" w14:textId="77777777" w:rsidR="00F61EF1" w:rsidRPr="00771854" w:rsidRDefault="00F61EF1" w:rsidP="00771854">
      <w:pPr>
        <w:autoSpaceDE w:val="0"/>
        <w:autoSpaceDN w:val="0"/>
        <w:adjustRightInd w:val="0"/>
        <w:spacing w:after="60" w:line="240" w:lineRule="auto"/>
        <w:ind w:left="-426"/>
        <w:jc w:val="both"/>
        <w:rPr>
          <w:rFonts w:ascii="Times New Roman" w:hAnsi="Times New Roman"/>
          <w:sz w:val="18"/>
          <w:szCs w:val="18"/>
        </w:rPr>
      </w:pPr>
      <w:r w:rsidRPr="00771854">
        <w:rPr>
          <w:rFonts w:ascii="Times New Roman" w:hAnsi="Times New Roman"/>
          <w:sz w:val="18"/>
          <w:szCs w:val="18"/>
        </w:rPr>
        <w:t xml:space="preserve">Azt feltételeztük, hogy: </w:t>
      </w:r>
    </w:p>
    <w:p w14:paraId="08F956E5" w14:textId="77777777" w:rsidR="00F61EF1" w:rsidRPr="00771854" w:rsidRDefault="00F61EF1" w:rsidP="00771854">
      <w:pPr>
        <w:autoSpaceDE w:val="0"/>
        <w:autoSpaceDN w:val="0"/>
        <w:adjustRightInd w:val="0"/>
        <w:spacing w:after="60" w:line="240" w:lineRule="auto"/>
        <w:ind w:left="-426"/>
        <w:jc w:val="both"/>
        <w:rPr>
          <w:rFonts w:ascii="Times New Roman" w:hAnsi="Times New Roman"/>
          <w:sz w:val="18"/>
          <w:szCs w:val="18"/>
        </w:rPr>
      </w:pPr>
      <w:r w:rsidRPr="00771854">
        <w:rPr>
          <w:rFonts w:ascii="Times New Roman" w:hAnsi="Times New Roman"/>
          <w:sz w:val="18"/>
          <w:szCs w:val="18"/>
        </w:rPr>
        <w:t xml:space="preserve">- Az első évben Ön visszakapja a befektetett összeget (0%-os éves hozam). A többi tartási időre vonatkozóan azt feltételeztük, hogy a termék a mérsékelt forgatókönyv szerint teljesít. </w:t>
      </w:r>
    </w:p>
    <w:p w14:paraId="6087486F" w14:textId="77777777" w:rsidR="00F61EF1" w:rsidRPr="00771854" w:rsidRDefault="00F61EF1" w:rsidP="00771854">
      <w:pPr>
        <w:autoSpaceDE w:val="0"/>
        <w:autoSpaceDN w:val="0"/>
        <w:adjustRightInd w:val="0"/>
        <w:spacing w:after="60" w:line="240" w:lineRule="auto"/>
        <w:ind w:left="-426"/>
        <w:jc w:val="both"/>
        <w:rPr>
          <w:rFonts w:ascii="Times New Roman" w:hAnsi="Times New Roman"/>
          <w:sz w:val="18"/>
          <w:szCs w:val="18"/>
        </w:rPr>
      </w:pPr>
      <w:r w:rsidRPr="00771854">
        <w:rPr>
          <w:rFonts w:ascii="Times New Roman" w:hAnsi="Times New Roman"/>
          <w:sz w:val="18"/>
          <w:szCs w:val="18"/>
        </w:rPr>
        <w:t>- Évente 4.100.000 Ft kerül befektetésre.</w:t>
      </w:r>
    </w:p>
    <w:tbl>
      <w:tblPr>
        <w:tblStyle w:val="Rcsostblzat"/>
        <w:tblW w:w="0" w:type="auto"/>
        <w:tblInd w:w="-426" w:type="dxa"/>
        <w:tblLook w:val="04A0" w:firstRow="1" w:lastRow="0" w:firstColumn="1" w:lastColumn="0" w:noHBand="0" w:noVBand="1"/>
      </w:tblPr>
      <w:tblGrid>
        <w:gridCol w:w="2372"/>
        <w:gridCol w:w="2372"/>
        <w:gridCol w:w="2372"/>
        <w:gridCol w:w="2372"/>
      </w:tblGrid>
      <w:tr w:rsidR="006445C4" w:rsidRPr="00771854" w14:paraId="57B76703" w14:textId="77777777" w:rsidTr="00105314">
        <w:tc>
          <w:tcPr>
            <w:tcW w:w="2372" w:type="dxa"/>
            <w:tcBorders>
              <w:top w:val="single" w:sz="4" w:space="0" w:color="auto"/>
              <w:left w:val="single" w:sz="4" w:space="0" w:color="auto"/>
              <w:bottom w:val="single" w:sz="4" w:space="0" w:color="auto"/>
              <w:right w:val="nil"/>
            </w:tcBorders>
            <w:shd w:val="clear" w:color="auto" w:fill="8DB3E2" w:themeFill="text2" w:themeFillTint="66"/>
          </w:tcPr>
          <w:p w14:paraId="42FFDDA9" w14:textId="77777777" w:rsidR="006445C4" w:rsidRPr="00771854" w:rsidRDefault="006445C4" w:rsidP="00771854">
            <w:pPr>
              <w:autoSpaceDE w:val="0"/>
              <w:autoSpaceDN w:val="0"/>
              <w:adjustRightInd w:val="0"/>
              <w:spacing w:after="0" w:line="240" w:lineRule="auto"/>
              <w:jc w:val="both"/>
              <w:rPr>
                <w:rFonts w:ascii="Times New Roman" w:hAnsi="Times New Roman"/>
                <w:b/>
                <w:sz w:val="18"/>
                <w:szCs w:val="18"/>
              </w:rPr>
            </w:pPr>
          </w:p>
        </w:tc>
        <w:tc>
          <w:tcPr>
            <w:tcW w:w="2372" w:type="dxa"/>
            <w:tcBorders>
              <w:top w:val="single" w:sz="4" w:space="0" w:color="auto"/>
              <w:left w:val="nil"/>
              <w:bottom w:val="single" w:sz="4" w:space="0" w:color="auto"/>
              <w:right w:val="nil"/>
            </w:tcBorders>
            <w:shd w:val="clear" w:color="auto" w:fill="8DB3E2" w:themeFill="text2" w:themeFillTint="66"/>
          </w:tcPr>
          <w:p w14:paraId="6CE77ACD" w14:textId="77777777" w:rsidR="006445C4" w:rsidRPr="00771854" w:rsidRDefault="006445C4" w:rsidP="00771854">
            <w:pPr>
              <w:autoSpaceDE w:val="0"/>
              <w:autoSpaceDN w:val="0"/>
              <w:adjustRightInd w:val="0"/>
              <w:spacing w:after="0" w:line="240" w:lineRule="auto"/>
              <w:jc w:val="both"/>
              <w:rPr>
                <w:rFonts w:ascii="Times New Roman" w:hAnsi="Times New Roman"/>
                <w:b/>
                <w:sz w:val="18"/>
                <w:szCs w:val="18"/>
              </w:rPr>
            </w:pPr>
            <w:r w:rsidRPr="00771854">
              <w:rPr>
                <w:rFonts w:ascii="Times New Roman" w:hAnsi="Times New Roman"/>
                <w:b/>
                <w:sz w:val="18"/>
                <w:szCs w:val="18"/>
              </w:rPr>
              <w:t xml:space="preserve">Ha Ön 1 év után kilép </w:t>
            </w:r>
          </w:p>
        </w:tc>
        <w:tc>
          <w:tcPr>
            <w:tcW w:w="2372" w:type="dxa"/>
            <w:tcBorders>
              <w:top w:val="single" w:sz="4" w:space="0" w:color="auto"/>
              <w:left w:val="nil"/>
              <w:bottom w:val="single" w:sz="4" w:space="0" w:color="auto"/>
              <w:right w:val="nil"/>
            </w:tcBorders>
            <w:shd w:val="clear" w:color="auto" w:fill="8DB3E2" w:themeFill="text2" w:themeFillTint="66"/>
          </w:tcPr>
          <w:p w14:paraId="075F0595" w14:textId="77777777" w:rsidR="006445C4" w:rsidRPr="00771854" w:rsidRDefault="006445C4" w:rsidP="00771854">
            <w:pPr>
              <w:autoSpaceDE w:val="0"/>
              <w:autoSpaceDN w:val="0"/>
              <w:adjustRightInd w:val="0"/>
              <w:spacing w:after="0" w:line="240" w:lineRule="auto"/>
              <w:jc w:val="both"/>
              <w:rPr>
                <w:rFonts w:ascii="Times New Roman" w:hAnsi="Times New Roman"/>
                <w:b/>
                <w:sz w:val="18"/>
                <w:szCs w:val="18"/>
              </w:rPr>
            </w:pPr>
            <w:r w:rsidRPr="00771854">
              <w:rPr>
                <w:rFonts w:ascii="Times New Roman" w:hAnsi="Times New Roman"/>
                <w:b/>
                <w:sz w:val="18"/>
                <w:szCs w:val="18"/>
              </w:rPr>
              <w:t>Ha Ön 2,5 év után kilép</w:t>
            </w:r>
          </w:p>
        </w:tc>
        <w:tc>
          <w:tcPr>
            <w:tcW w:w="2372" w:type="dxa"/>
            <w:tcBorders>
              <w:top w:val="single" w:sz="4" w:space="0" w:color="auto"/>
              <w:left w:val="nil"/>
              <w:bottom w:val="single" w:sz="4" w:space="0" w:color="auto"/>
              <w:right w:val="single" w:sz="4" w:space="0" w:color="auto"/>
            </w:tcBorders>
            <w:shd w:val="clear" w:color="auto" w:fill="8DB3E2" w:themeFill="text2" w:themeFillTint="66"/>
          </w:tcPr>
          <w:p w14:paraId="6365E963" w14:textId="77777777" w:rsidR="006445C4" w:rsidRPr="00771854" w:rsidRDefault="006445C4" w:rsidP="00771854">
            <w:pPr>
              <w:autoSpaceDE w:val="0"/>
              <w:autoSpaceDN w:val="0"/>
              <w:adjustRightInd w:val="0"/>
              <w:spacing w:after="0" w:line="240" w:lineRule="auto"/>
              <w:jc w:val="both"/>
              <w:rPr>
                <w:rFonts w:ascii="Times New Roman" w:hAnsi="Times New Roman"/>
                <w:b/>
                <w:sz w:val="18"/>
                <w:szCs w:val="18"/>
              </w:rPr>
            </w:pPr>
            <w:r w:rsidRPr="00771854">
              <w:rPr>
                <w:rFonts w:ascii="Times New Roman" w:hAnsi="Times New Roman"/>
                <w:b/>
                <w:sz w:val="18"/>
                <w:szCs w:val="18"/>
              </w:rPr>
              <w:t xml:space="preserve">Ha Ön </w:t>
            </w:r>
            <w:r w:rsidRPr="00771854">
              <w:rPr>
                <w:rFonts w:ascii="Times New Roman" w:hAnsi="Times New Roman"/>
                <w:b/>
                <w:sz w:val="18"/>
                <w:szCs w:val="18"/>
              </w:rPr>
              <w:fldChar w:fldCharType="begin"/>
            </w:r>
            <w:r w:rsidRPr="00771854">
              <w:rPr>
                <w:rFonts w:ascii="Times New Roman" w:hAnsi="Times New Roman"/>
                <w:b/>
                <w:sz w:val="18"/>
                <w:szCs w:val="18"/>
              </w:rPr>
              <w:instrText xml:space="preserve"> MERGEFIELD Tartási_idő </w:instrText>
            </w:r>
            <w:r w:rsidRPr="00771854">
              <w:rPr>
                <w:rFonts w:ascii="Times New Roman" w:hAnsi="Times New Roman"/>
                <w:b/>
                <w:sz w:val="18"/>
                <w:szCs w:val="18"/>
              </w:rPr>
              <w:fldChar w:fldCharType="separate"/>
            </w:r>
            <w:r w:rsidRPr="00771854">
              <w:rPr>
                <w:rFonts w:ascii="Times New Roman" w:hAnsi="Times New Roman"/>
                <w:b/>
                <w:noProof/>
                <w:sz w:val="18"/>
                <w:szCs w:val="18"/>
              </w:rPr>
              <w:t>5</w:t>
            </w:r>
            <w:r w:rsidRPr="00771854">
              <w:rPr>
                <w:rFonts w:ascii="Times New Roman" w:hAnsi="Times New Roman"/>
                <w:b/>
                <w:sz w:val="18"/>
                <w:szCs w:val="18"/>
              </w:rPr>
              <w:fldChar w:fldCharType="end"/>
            </w:r>
            <w:r w:rsidRPr="00771854">
              <w:rPr>
                <w:rFonts w:ascii="Times New Roman" w:hAnsi="Times New Roman"/>
                <w:b/>
                <w:sz w:val="18"/>
                <w:szCs w:val="18"/>
              </w:rPr>
              <w:t xml:space="preserve"> év után kilép </w:t>
            </w:r>
          </w:p>
        </w:tc>
      </w:tr>
      <w:tr w:rsidR="006445C4" w:rsidRPr="00771854" w14:paraId="5F724221" w14:textId="77777777" w:rsidTr="00105314">
        <w:tc>
          <w:tcPr>
            <w:tcW w:w="2372" w:type="dxa"/>
            <w:tcBorders>
              <w:top w:val="single" w:sz="4" w:space="0" w:color="auto"/>
              <w:left w:val="single" w:sz="4" w:space="0" w:color="auto"/>
              <w:bottom w:val="single" w:sz="4" w:space="0" w:color="auto"/>
              <w:right w:val="nil"/>
            </w:tcBorders>
            <w:shd w:val="clear" w:color="auto" w:fill="8DB3E2" w:themeFill="text2" w:themeFillTint="66"/>
          </w:tcPr>
          <w:p w14:paraId="31F7B515" w14:textId="77777777" w:rsidR="006445C4" w:rsidRPr="00771854" w:rsidRDefault="006445C4" w:rsidP="00771854">
            <w:pPr>
              <w:autoSpaceDE w:val="0"/>
              <w:autoSpaceDN w:val="0"/>
              <w:adjustRightInd w:val="0"/>
              <w:spacing w:after="0" w:line="240" w:lineRule="auto"/>
              <w:jc w:val="both"/>
              <w:rPr>
                <w:rFonts w:ascii="Times New Roman" w:hAnsi="Times New Roman"/>
                <w:b/>
                <w:sz w:val="18"/>
                <w:szCs w:val="18"/>
              </w:rPr>
            </w:pPr>
            <w:r w:rsidRPr="00771854">
              <w:rPr>
                <w:rFonts w:ascii="Times New Roman" w:hAnsi="Times New Roman"/>
                <w:b/>
                <w:sz w:val="18"/>
                <w:szCs w:val="18"/>
              </w:rPr>
              <w:t xml:space="preserve">Teljes költség </w:t>
            </w:r>
          </w:p>
        </w:tc>
        <w:tc>
          <w:tcPr>
            <w:tcW w:w="2372" w:type="dxa"/>
            <w:tcBorders>
              <w:top w:val="single" w:sz="4" w:space="0" w:color="auto"/>
              <w:left w:val="nil"/>
              <w:bottom w:val="single" w:sz="4" w:space="0" w:color="auto"/>
              <w:right w:val="nil"/>
            </w:tcBorders>
          </w:tcPr>
          <w:p w14:paraId="06EABC0D" w14:textId="46B0AFD9" w:rsidR="006445C4" w:rsidRPr="00771854" w:rsidRDefault="006445C4" w:rsidP="00771854">
            <w:pPr>
              <w:autoSpaceDE w:val="0"/>
              <w:autoSpaceDN w:val="0"/>
              <w:adjustRightInd w:val="0"/>
              <w:spacing w:after="0" w:line="240" w:lineRule="auto"/>
              <w:jc w:val="both"/>
              <w:rPr>
                <w:rFonts w:ascii="Times New Roman" w:hAnsi="Times New Roman"/>
                <w:sz w:val="18"/>
                <w:szCs w:val="18"/>
              </w:rPr>
            </w:pPr>
            <w:r w:rsidRPr="00771854">
              <w:rPr>
                <w:rFonts w:ascii="Times New Roman" w:hAnsi="Times New Roman"/>
                <w:sz w:val="18"/>
                <w:szCs w:val="18"/>
              </w:rPr>
              <w:t xml:space="preserve">255 123 Ft </w:t>
            </w:r>
          </w:p>
        </w:tc>
        <w:tc>
          <w:tcPr>
            <w:tcW w:w="2372" w:type="dxa"/>
            <w:tcBorders>
              <w:top w:val="single" w:sz="4" w:space="0" w:color="auto"/>
              <w:left w:val="nil"/>
              <w:bottom w:val="single" w:sz="4" w:space="0" w:color="auto"/>
              <w:right w:val="nil"/>
            </w:tcBorders>
          </w:tcPr>
          <w:p w14:paraId="763CF4E5" w14:textId="13F32AE2" w:rsidR="006445C4" w:rsidRPr="00771854" w:rsidRDefault="006445C4" w:rsidP="00771854">
            <w:pPr>
              <w:autoSpaceDE w:val="0"/>
              <w:autoSpaceDN w:val="0"/>
              <w:adjustRightInd w:val="0"/>
              <w:spacing w:after="0" w:line="240" w:lineRule="auto"/>
              <w:jc w:val="both"/>
              <w:rPr>
                <w:rFonts w:ascii="Times New Roman" w:hAnsi="Times New Roman"/>
                <w:sz w:val="18"/>
                <w:szCs w:val="18"/>
              </w:rPr>
            </w:pPr>
            <w:r w:rsidRPr="00771854">
              <w:rPr>
                <w:rFonts w:ascii="Times New Roman" w:hAnsi="Times New Roman"/>
                <w:sz w:val="18"/>
                <w:szCs w:val="18"/>
              </w:rPr>
              <w:t>268 724 Ft</w:t>
            </w:r>
          </w:p>
        </w:tc>
        <w:tc>
          <w:tcPr>
            <w:tcW w:w="2372" w:type="dxa"/>
            <w:tcBorders>
              <w:top w:val="single" w:sz="4" w:space="0" w:color="auto"/>
              <w:left w:val="nil"/>
              <w:bottom w:val="single" w:sz="4" w:space="0" w:color="auto"/>
              <w:right w:val="single" w:sz="4" w:space="0" w:color="auto"/>
            </w:tcBorders>
          </w:tcPr>
          <w:p w14:paraId="1B8BDB8C" w14:textId="53048AD4" w:rsidR="006445C4" w:rsidRPr="00771854" w:rsidRDefault="006445C4" w:rsidP="00771854">
            <w:pPr>
              <w:autoSpaceDE w:val="0"/>
              <w:autoSpaceDN w:val="0"/>
              <w:adjustRightInd w:val="0"/>
              <w:spacing w:after="0" w:line="240" w:lineRule="auto"/>
              <w:jc w:val="both"/>
              <w:rPr>
                <w:rFonts w:ascii="Times New Roman" w:hAnsi="Times New Roman"/>
                <w:sz w:val="18"/>
                <w:szCs w:val="18"/>
              </w:rPr>
            </w:pPr>
            <w:r w:rsidRPr="00771854">
              <w:rPr>
                <w:rFonts w:ascii="Times New Roman" w:hAnsi="Times New Roman"/>
                <w:sz w:val="18"/>
                <w:szCs w:val="18"/>
              </w:rPr>
              <w:t xml:space="preserve">278 274 Ft </w:t>
            </w:r>
          </w:p>
        </w:tc>
      </w:tr>
      <w:tr w:rsidR="006445C4" w:rsidRPr="00771854" w14:paraId="3F2E9FA2" w14:textId="77777777" w:rsidTr="00105314">
        <w:tc>
          <w:tcPr>
            <w:tcW w:w="2372" w:type="dxa"/>
            <w:tcBorders>
              <w:top w:val="single" w:sz="4" w:space="0" w:color="auto"/>
              <w:left w:val="single" w:sz="4" w:space="0" w:color="auto"/>
              <w:bottom w:val="single" w:sz="4" w:space="0" w:color="auto"/>
              <w:right w:val="nil"/>
            </w:tcBorders>
            <w:shd w:val="clear" w:color="auto" w:fill="8DB3E2" w:themeFill="text2" w:themeFillTint="66"/>
          </w:tcPr>
          <w:p w14:paraId="3D5FD5A3" w14:textId="77777777" w:rsidR="006445C4" w:rsidRPr="00771854" w:rsidRDefault="006445C4" w:rsidP="00771854">
            <w:pPr>
              <w:autoSpaceDE w:val="0"/>
              <w:autoSpaceDN w:val="0"/>
              <w:adjustRightInd w:val="0"/>
              <w:spacing w:after="0" w:line="240" w:lineRule="auto"/>
              <w:jc w:val="both"/>
              <w:rPr>
                <w:rFonts w:ascii="Times New Roman" w:hAnsi="Times New Roman"/>
                <w:b/>
                <w:sz w:val="18"/>
                <w:szCs w:val="18"/>
              </w:rPr>
            </w:pPr>
            <w:r w:rsidRPr="00771854">
              <w:rPr>
                <w:rFonts w:ascii="Times New Roman" w:hAnsi="Times New Roman"/>
                <w:b/>
                <w:sz w:val="18"/>
                <w:szCs w:val="18"/>
              </w:rPr>
              <w:t xml:space="preserve">Éves költséghatás* </w:t>
            </w:r>
          </w:p>
        </w:tc>
        <w:tc>
          <w:tcPr>
            <w:tcW w:w="2372" w:type="dxa"/>
            <w:tcBorders>
              <w:top w:val="single" w:sz="4" w:space="0" w:color="auto"/>
              <w:left w:val="nil"/>
              <w:bottom w:val="single" w:sz="4" w:space="0" w:color="auto"/>
              <w:right w:val="nil"/>
            </w:tcBorders>
          </w:tcPr>
          <w:p w14:paraId="2093AC67" w14:textId="563A7999" w:rsidR="006445C4" w:rsidRPr="00771854" w:rsidRDefault="006445C4" w:rsidP="00771854">
            <w:pPr>
              <w:autoSpaceDE w:val="0"/>
              <w:autoSpaceDN w:val="0"/>
              <w:adjustRightInd w:val="0"/>
              <w:spacing w:after="0" w:line="240" w:lineRule="auto"/>
              <w:jc w:val="both"/>
              <w:rPr>
                <w:rFonts w:ascii="Times New Roman" w:hAnsi="Times New Roman"/>
                <w:sz w:val="18"/>
                <w:szCs w:val="18"/>
              </w:rPr>
            </w:pPr>
            <w:r w:rsidRPr="00771854">
              <w:rPr>
                <w:rFonts w:ascii="Times New Roman" w:hAnsi="Times New Roman"/>
                <w:sz w:val="18"/>
                <w:szCs w:val="18"/>
              </w:rPr>
              <w:t xml:space="preserve">3,7% </w:t>
            </w:r>
          </w:p>
        </w:tc>
        <w:tc>
          <w:tcPr>
            <w:tcW w:w="2372" w:type="dxa"/>
            <w:tcBorders>
              <w:top w:val="single" w:sz="4" w:space="0" w:color="auto"/>
              <w:left w:val="nil"/>
              <w:bottom w:val="single" w:sz="4" w:space="0" w:color="auto"/>
              <w:right w:val="nil"/>
            </w:tcBorders>
          </w:tcPr>
          <w:p w14:paraId="5C49AB41" w14:textId="70B5AC66" w:rsidR="006445C4" w:rsidRPr="00771854" w:rsidRDefault="006445C4" w:rsidP="00771854">
            <w:pPr>
              <w:autoSpaceDE w:val="0"/>
              <w:autoSpaceDN w:val="0"/>
              <w:adjustRightInd w:val="0"/>
              <w:spacing w:after="0" w:line="240" w:lineRule="auto"/>
              <w:jc w:val="both"/>
              <w:rPr>
                <w:rFonts w:ascii="Times New Roman" w:hAnsi="Times New Roman"/>
                <w:sz w:val="18"/>
                <w:szCs w:val="18"/>
              </w:rPr>
            </w:pPr>
            <w:r w:rsidRPr="00771854">
              <w:rPr>
                <w:rFonts w:ascii="Times New Roman" w:hAnsi="Times New Roman"/>
                <w:sz w:val="18"/>
                <w:szCs w:val="18"/>
              </w:rPr>
              <w:t>3,7%</w:t>
            </w:r>
          </w:p>
        </w:tc>
        <w:tc>
          <w:tcPr>
            <w:tcW w:w="2372" w:type="dxa"/>
            <w:tcBorders>
              <w:top w:val="single" w:sz="4" w:space="0" w:color="auto"/>
              <w:left w:val="nil"/>
              <w:bottom w:val="single" w:sz="4" w:space="0" w:color="auto"/>
              <w:right w:val="single" w:sz="4" w:space="0" w:color="auto"/>
            </w:tcBorders>
          </w:tcPr>
          <w:p w14:paraId="113BD387" w14:textId="158C1813" w:rsidR="006445C4" w:rsidRPr="00771854" w:rsidRDefault="006445C4" w:rsidP="00771854">
            <w:pPr>
              <w:autoSpaceDE w:val="0"/>
              <w:autoSpaceDN w:val="0"/>
              <w:adjustRightInd w:val="0"/>
              <w:spacing w:after="0" w:line="240" w:lineRule="auto"/>
              <w:jc w:val="both"/>
              <w:rPr>
                <w:rFonts w:ascii="Times New Roman" w:hAnsi="Times New Roman"/>
                <w:sz w:val="18"/>
                <w:szCs w:val="18"/>
              </w:rPr>
            </w:pPr>
            <w:r w:rsidRPr="00771854">
              <w:rPr>
                <w:rFonts w:ascii="Times New Roman" w:hAnsi="Times New Roman"/>
                <w:sz w:val="18"/>
                <w:szCs w:val="18"/>
              </w:rPr>
              <w:t xml:space="preserve">3,7% minden évben </w:t>
            </w:r>
          </w:p>
        </w:tc>
      </w:tr>
    </w:tbl>
    <w:p w14:paraId="3985C3DD" w14:textId="6DD71E48" w:rsidR="00F61EF1" w:rsidRPr="00771854" w:rsidRDefault="00F61EF1" w:rsidP="00771854">
      <w:pPr>
        <w:autoSpaceDE w:val="0"/>
        <w:autoSpaceDN w:val="0"/>
        <w:adjustRightInd w:val="0"/>
        <w:spacing w:after="0" w:line="240" w:lineRule="auto"/>
        <w:ind w:left="-426"/>
        <w:jc w:val="both"/>
        <w:rPr>
          <w:rFonts w:ascii="Times New Roman" w:hAnsi="Times New Roman"/>
          <w:sz w:val="18"/>
          <w:szCs w:val="18"/>
        </w:rPr>
      </w:pPr>
      <w:r w:rsidRPr="00771854">
        <w:rPr>
          <w:rFonts w:ascii="Times New Roman" w:hAnsi="Times New Roman"/>
          <w:sz w:val="18"/>
          <w:szCs w:val="18"/>
        </w:rPr>
        <w:t xml:space="preserve">*Ez azt szemlélteti, hogy a költségek évente hogyan csökkentik az Ön hozamát a tartási idő alatt. Ez például azt mutatja, hogy ha Ön az ajánlott tartási időnél kilép, az Ön évi átlagos hozama várhatóan </w:t>
      </w:r>
      <w:r w:rsidR="006445C4" w:rsidRPr="00771854">
        <w:rPr>
          <w:rFonts w:ascii="Times New Roman" w:hAnsi="Times New Roman"/>
          <w:sz w:val="18"/>
          <w:szCs w:val="18"/>
        </w:rPr>
        <w:t>7,0</w:t>
      </w:r>
      <w:r w:rsidRPr="00771854">
        <w:rPr>
          <w:rFonts w:ascii="Times New Roman" w:hAnsi="Times New Roman"/>
          <w:sz w:val="18"/>
          <w:szCs w:val="18"/>
        </w:rPr>
        <w:t xml:space="preserve">% lesz a költségek előtt és </w:t>
      </w:r>
      <w:r w:rsidR="006445C4" w:rsidRPr="00771854">
        <w:rPr>
          <w:rFonts w:ascii="Times New Roman" w:hAnsi="Times New Roman"/>
          <w:sz w:val="18"/>
          <w:szCs w:val="18"/>
        </w:rPr>
        <w:t>3,3</w:t>
      </w:r>
      <w:r w:rsidRPr="00771854">
        <w:rPr>
          <w:rFonts w:ascii="Times New Roman" w:hAnsi="Times New Roman"/>
          <w:sz w:val="18"/>
          <w:szCs w:val="18"/>
        </w:rPr>
        <w:t xml:space="preserve">% a költségek után. </w:t>
      </w:r>
    </w:p>
    <w:p w14:paraId="3594B02B" w14:textId="77777777" w:rsidR="00F61EF1" w:rsidRPr="00771854" w:rsidRDefault="00F61EF1" w:rsidP="00771854">
      <w:pPr>
        <w:autoSpaceDE w:val="0"/>
        <w:autoSpaceDN w:val="0"/>
        <w:adjustRightInd w:val="0"/>
        <w:spacing w:after="0" w:line="240" w:lineRule="auto"/>
        <w:ind w:left="-426"/>
        <w:jc w:val="both"/>
        <w:rPr>
          <w:rFonts w:ascii="Times New Roman" w:hAnsi="Times New Roman"/>
          <w:sz w:val="18"/>
          <w:szCs w:val="18"/>
          <w:u w:val="single"/>
        </w:rPr>
      </w:pPr>
      <w:r w:rsidRPr="00771854">
        <w:rPr>
          <w:rFonts w:ascii="Times New Roman" w:hAnsi="Times New Roman"/>
          <w:sz w:val="18"/>
          <w:szCs w:val="18"/>
          <w:u w:val="single"/>
        </w:rPr>
        <w:t xml:space="preserve">A költségek összetétele: </w:t>
      </w:r>
    </w:p>
    <w:tbl>
      <w:tblPr>
        <w:tblStyle w:val="Rcsostblzat"/>
        <w:tblW w:w="9919" w:type="dxa"/>
        <w:tblInd w:w="-426" w:type="dxa"/>
        <w:tblLook w:val="04A0" w:firstRow="1" w:lastRow="0" w:firstColumn="1" w:lastColumn="0" w:noHBand="0" w:noVBand="1"/>
      </w:tblPr>
      <w:tblGrid>
        <w:gridCol w:w="2296"/>
        <w:gridCol w:w="6063"/>
        <w:gridCol w:w="1560"/>
      </w:tblGrid>
      <w:tr w:rsidR="006445C4" w:rsidRPr="00771854" w14:paraId="05B624EA" w14:textId="77777777" w:rsidTr="00105314">
        <w:tc>
          <w:tcPr>
            <w:tcW w:w="8359" w:type="dxa"/>
            <w:gridSpan w:val="2"/>
            <w:shd w:val="clear" w:color="auto" w:fill="8DB3E2" w:themeFill="text2" w:themeFillTint="66"/>
          </w:tcPr>
          <w:p w14:paraId="5896D7EE" w14:textId="77777777" w:rsidR="006445C4" w:rsidRPr="00771854" w:rsidRDefault="006445C4" w:rsidP="00771854">
            <w:pPr>
              <w:autoSpaceDE w:val="0"/>
              <w:autoSpaceDN w:val="0"/>
              <w:adjustRightInd w:val="0"/>
              <w:spacing w:after="0" w:line="240" w:lineRule="auto"/>
              <w:jc w:val="both"/>
              <w:rPr>
                <w:rFonts w:ascii="Times New Roman" w:hAnsi="Times New Roman"/>
                <w:b/>
                <w:sz w:val="18"/>
                <w:szCs w:val="18"/>
              </w:rPr>
            </w:pPr>
            <w:r w:rsidRPr="00771854">
              <w:rPr>
                <w:rFonts w:ascii="Times New Roman" w:hAnsi="Times New Roman"/>
                <w:b/>
                <w:sz w:val="18"/>
                <w:szCs w:val="18"/>
              </w:rPr>
              <w:t xml:space="preserve">Egyszeri költségek belépéskor vagy kilépéskor </w:t>
            </w:r>
          </w:p>
        </w:tc>
        <w:tc>
          <w:tcPr>
            <w:tcW w:w="1560" w:type="dxa"/>
            <w:shd w:val="clear" w:color="auto" w:fill="8DB3E2" w:themeFill="text2" w:themeFillTint="66"/>
          </w:tcPr>
          <w:p w14:paraId="2DE6AE36" w14:textId="77777777" w:rsidR="006445C4" w:rsidRPr="00771854" w:rsidRDefault="006445C4" w:rsidP="00771854">
            <w:pPr>
              <w:autoSpaceDE w:val="0"/>
              <w:autoSpaceDN w:val="0"/>
              <w:adjustRightInd w:val="0"/>
              <w:spacing w:after="0" w:line="240" w:lineRule="auto"/>
              <w:jc w:val="both"/>
              <w:rPr>
                <w:rFonts w:ascii="Times New Roman" w:hAnsi="Times New Roman"/>
                <w:b/>
                <w:sz w:val="18"/>
                <w:szCs w:val="18"/>
              </w:rPr>
            </w:pPr>
            <w:r w:rsidRPr="00771854">
              <w:rPr>
                <w:rFonts w:ascii="Times New Roman" w:hAnsi="Times New Roman"/>
                <w:b/>
                <w:sz w:val="18"/>
                <w:szCs w:val="18"/>
              </w:rPr>
              <w:t xml:space="preserve">Ha Ön 1 év után kilép </w:t>
            </w:r>
          </w:p>
        </w:tc>
      </w:tr>
      <w:tr w:rsidR="006445C4" w:rsidRPr="00771854" w14:paraId="53ADFDAC" w14:textId="77777777" w:rsidTr="00105314">
        <w:tc>
          <w:tcPr>
            <w:tcW w:w="2296" w:type="dxa"/>
          </w:tcPr>
          <w:p w14:paraId="37B2C993" w14:textId="77777777" w:rsidR="006445C4" w:rsidRPr="00771854" w:rsidRDefault="006445C4" w:rsidP="00771854">
            <w:pPr>
              <w:autoSpaceDE w:val="0"/>
              <w:autoSpaceDN w:val="0"/>
              <w:adjustRightInd w:val="0"/>
              <w:spacing w:after="0" w:line="240" w:lineRule="auto"/>
              <w:jc w:val="both"/>
              <w:rPr>
                <w:rFonts w:ascii="Times New Roman" w:hAnsi="Times New Roman"/>
                <w:sz w:val="18"/>
                <w:szCs w:val="18"/>
              </w:rPr>
            </w:pPr>
            <w:r w:rsidRPr="00771854">
              <w:rPr>
                <w:rFonts w:ascii="Times New Roman" w:hAnsi="Times New Roman"/>
                <w:sz w:val="18"/>
                <w:szCs w:val="18"/>
              </w:rPr>
              <w:t xml:space="preserve">Belépési költségek </w:t>
            </w:r>
          </w:p>
        </w:tc>
        <w:tc>
          <w:tcPr>
            <w:tcW w:w="6063" w:type="dxa"/>
          </w:tcPr>
          <w:p w14:paraId="60EBD874" w14:textId="77777777" w:rsidR="006445C4" w:rsidRPr="00771854" w:rsidRDefault="006445C4" w:rsidP="00771854">
            <w:pPr>
              <w:autoSpaceDE w:val="0"/>
              <w:autoSpaceDN w:val="0"/>
              <w:adjustRightInd w:val="0"/>
              <w:spacing w:after="0" w:line="240" w:lineRule="auto"/>
              <w:jc w:val="both"/>
              <w:rPr>
                <w:rFonts w:ascii="Times New Roman" w:hAnsi="Times New Roman"/>
                <w:sz w:val="18"/>
                <w:szCs w:val="18"/>
              </w:rPr>
            </w:pPr>
            <w:r w:rsidRPr="00771854">
              <w:rPr>
                <w:rFonts w:ascii="Times New Roman" w:hAnsi="Times New Roman"/>
                <w:sz w:val="18"/>
                <w:szCs w:val="18"/>
              </w:rPr>
              <w:t xml:space="preserve">Az Ön által az e befektetés kezdetekor fizetett összeg 2%-a. </w:t>
            </w:r>
          </w:p>
        </w:tc>
        <w:tc>
          <w:tcPr>
            <w:tcW w:w="1560" w:type="dxa"/>
          </w:tcPr>
          <w:p w14:paraId="52DBC1FE" w14:textId="77777777" w:rsidR="006445C4" w:rsidRPr="00771854" w:rsidRDefault="006445C4" w:rsidP="00771854">
            <w:pPr>
              <w:autoSpaceDE w:val="0"/>
              <w:autoSpaceDN w:val="0"/>
              <w:adjustRightInd w:val="0"/>
              <w:spacing w:after="0" w:line="240" w:lineRule="auto"/>
              <w:jc w:val="right"/>
              <w:rPr>
                <w:rFonts w:ascii="Times New Roman" w:hAnsi="Times New Roman"/>
                <w:sz w:val="18"/>
                <w:szCs w:val="18"/>
              </w:rPr>
            </w:pPr>
            <w:r w:rsidRPr="00771854">
              <w:rPr>
                <w:rFonts w:ascii="Times New Roman" w:hAnsi="Times New Roman"/>
                <w:sz w:val="18"/>
                <w:szCs w:val="18"/>
              </w:rPr>
              <w:t xml:space="preserve">82 000 Ft </w:t>
            </w:r>
          </w:p>
        </w:tc>
      </w:tr>
      <w:tr w:rsidR="006445C4" w:rsidRPr="00771854" w14:paraId="5D3AC7E1" w14:textId="77777777" w:rsidTr="00105314">
        <w:tc>
          <w:tcPr>
            <w:tcW w:w="2296" w:type="dxa"/>
          </w:tcPr>
          <w:p w14:paraId="54E98580" w14:textId="77777777" w:rsidR="006445C4" w:rsidRPr="00771854" w:rsidRDefault="006445C4" w:rsidP="00771854">
            <w:pPr>
              <w:autoSpaceDE w:val="0"/>
              <w:autoSpaceDN w:val="0"/>
              <w:adjustRightInd w:val="0"/>
              <w:spacing w:after="0" w:line="240" w:lineRule="auto"/>
              <w:jc w:val="both"/>
              <w:rPr>
                <w:rFonts w:ascii="Times New Roman" w:hAnsi="Times New Roman"/>
                <w:sz w:val="18"/>
                <w:szCs w:val="18"/>
              </w:rPr>
            </w:pPr>
            <w:r w:rsidRPr="00771854">
              <w:rPr>
                <w:rFonts w:ascii="Times New Roman" w:hAnsi="Times New Roman"/>
                <w:sz w:val="18"/>
                <w:szCs w:val="18"/>
              </w:rPr>
              <w:t xml:space="preserve">Kilépési költségek </w:t>
            </w:r>
          </w:p>
        </w:tc>
        <w:tc>
          <w:tcPr>
            <w:tcW w:w="6063" w:type="dxa"/>
          </w:tcPr>
          <w:p w14:paraId="1DB36D6C" w14:textId="77777777" w:rsidR="006445C4" w:rsidRPr="00771854" w:rsidRDefault="006445C4" w:rsidP="00771854">
            <w:pPr>
              <w:autoSpaceDE w:val="0"/>
              <w:autoSpaceDN w:val="0"/>
              <w:adjustRightInd w:val="0"/>
              <w:spacing w:after="0" w:line="240" w:lineRule="auto"/>
              <w:jc w:val="both"/>
              <w:rPr>
                <w:rFonts w:ascii="Times New Roman" w:hAnsi="Times New Roman"/>
                <w:sz w:val="18"/>
                <w:szCs w:val="18"/>
              </w:rPr>
            </w:pPr>
            <w:r w:rsidRPr="00771854">
              <w:rPr>
                <w:rFonts w:ascii="Times New Roman" w:hAnsi="Times New Roman"/>
                <w:sz w:val="18"/>
                <w:szCs w:val="18"/>
              </w:rPr>
              <w:t xml:space="preserve">Befektetésének 0,5%-a, mielőtt azt kifizették Önnek. </w:t>
            </w:r>
          </w:p>
        </w:tc>
        <w:tc>
          <w:tcPr>
            <w:tcW w:w="1560" w:type="dxa"/>
          </w:tcPr>
          <w:p w14:paraId="07798D9F" w14:textId="77777777" w:rsidR="006445C4" w:rsidRPr="00771854" w:rsidRDefault="006445C4" w:rsidP="00771854">
            <w:pPr>
              <w:autoSpaceDE w:val="0"/>
              <w:autoSpaceDN w:val="0"/>
              <w:adjustRightInd w:val="0"/>
              <w:spacing w:after="0" w:line="240" w:lineRule="auto"/>
              <w:jc w:val="right"/>
              <w:rPr>
                <w:rFonts w:ascii="Times New Roman" w:hAnsi="Times New Roman"/>
                <w:sz w:val="18"/>
                <w:szCs w:val="18"/>
              </w:rPr>
            </w:pPr>
            <w:r w:rsidRPr="00771854">
              <w:rPr>
                <w:rFonts w:ascii="Times New Roman" w:hAnsi="Times New Roman"/>
                <w:sz w:val="18"/>
                <w:szCs w:val="18"/>
              </w:rPr>
              <w:t xml:space="preserve">20 500 Ft </w:t>
            </w:r>
          </w:p>
        </w:tc>
      </w:tr>
      <w:tr w:rsidR="006445C4" w:rsidRPr="00771854" w14:paraId="2D31997A" w14:textId="77777777" w:rsidTr="00105314">
        <w:tc>
          <w:tcPr>
            <w:tcW w:w="8359" w:type="dxa"/>
            <w:gridSpan w:val="2"/>
            <w:shd w:val="clear" w:color="auto" w:fill="8DB3E2" w:themeFill="text2" w:themeFillTint="66"/>
          </w:tcPr>
          <w:p w14:paraId="3312E8A4" w14:textId="77777777" w:rsidR="006445C4" w:rsidRPr="00771854" w:rsidRDefault="006445C4" w:rsidP="00771854">
            <w:pPr>
              <w:autoSpaceDE w:val="0"/>
              <w:autoSpaceDN w:val="0"/>
              <w:adjustRightInd w:val="0"/>
              <w:spacing w:after="0" w:line="240" w:lineRule="auto"/>
              <w:jc w:val="both"/>
              <w:rPr>
                <w:rFonts w:ascii="Times New Roman" w:hAnsi="Times New Roman"/>
                <w:b/>
                <w:sz w:val="18"/>
                <w:szCs w:val="18"/>
              </w:rPr>
            </w:pPr>
            <w:r w:rsidRPr="00771854">
              <w:rPr>
                <w:rFonts w:ascii="Times New Roman" w:hAnsi="Times New Roman"/>
                <w:b/>
                <w:sz w:val="18"/>
                <w:szCs w:val="18"/>
              </w:rPr>
              <w:t xml:space="preserve">Folyó költségek </w:t>
            </w:r>
          </w:p>
        </w:tc>
        <w:tc>
          <w:tcPr>
            <w:tcW w:w="1560" w:type="dxa"/>
            <w:shd w:val="clear" w:color="auto" w:fill="8DB3E2" w:themeFill="text2" w:themeFillTint="66"/>
          </w:tcPr>
          <w:p w14:paraId="7773B69D" w14:textId="77777777" w:rsidR="006445C4" w:rsidRPr="00771854" w:rsidRDefault="006445C4" w:rsidP="00771854">
            <w:pPr>
              <w:autoSpaceDE w:val="0"/>
              <w:autoSpaceDN w:val="0"/>
              <w:adjustRightInd w:val="0"/>
              <w:spacing w:after="0" w:line="240" w:lineRule="auto"/>
              <w:jc w:val="right"/>
              <w:rPr>
                <w:rFonts w:ascii="Times New Roman" w:hAnsi="Times New Roman"/>
                <w:b/>
                <w:sz w:val="18"/>
                <w:szCs w:val="18"/>
              </w:rPr>
            </w:pPr>
          </w:p>
        </w:tc>
      </w:tr>
      <w:tr w:rsidR="006445C4" w:rsidRPr="00771854" w14:paraId="1CAB60E8" w14:textId="77777777" w:rsidTr="00105314">
        <w:tc>
          <w:tcPr>
            <w:tcW w:w="2296" w:type="dxa"/>
          </w:tcPr>
          <w:p w14:paraId="62D99B49" w14:textId="77777777" w:rsidR="006445C4" w:rsidRPr="00771854" w:rsidRDefault="006445C4" w:rsidP="00771854">
            <w:pPr>
              <w:autoSpaceDE w:val="0"/>
              <w:autoSpaceDN w:val="0"/>
              <w:adjustRightInd w:val="0"/>
              <w:spacing w:after="0" w:line="240" w:lineRule="auto"/>
              <w:jc w:val="both"/>
              <w:rPr>
                <w:rFonts w:ascii="Times New Roman" w:hAnsi="Times New Roman"/>
                <w:sz w:val="18"/>
                <w:szCs w:val="18"/>
              </w:rPr>
            </w:pPr>
            <w:r w:rsidRPr="00771854">
              <w:rPr>
                <w:rFonts w:ascii="Times New Roman" w:hAnsi="Times New Roman"/>
                <w:sz w:val="18"/>
                <w:szCs w:val="18"/>
              </w:rPr>
              <w:t xml:space="preserve">Kezelési díjak és egyéb adminisztratív vagy működési költségek </w:t>
            </w:r>
          </w:p>
        </w:tc>
        <w:tc>
          <w:tcPr>
            <w:tcW w:w="6063" w:type="dxa"/>
          </w:tcPr>
          <w:p w14:paraId="512721AD" w14:textId="76D32847" w:rsidR="006445C4" w:rsidRPr="00771854" w:rsidRDefault="006445C4" w:rsidP="00771854">
            <w:pPr>
              <w:autoSpaceDE w:val="0"/>
              <w:autoSpaceDN w:val="0"/>
              <w:adjustRightInd w:val="0"/>
              <w:spacing w:after="0" w:line="240" w:lineRule="auto"/>
              <w:jc w:val="both"/>
              <w:rPr>
                <w:rFonts w:ascii="Times New Roman" w:hAnsi="Times New Roman"/>
                <w:sz w:val="18"/>
                <w:szCs w:val="18"/>
              </w:rPr>
            </w:pPr>
            <w:r w:rsidRPr="00771854">
              <w:rPr>
                <w:rFonts w:ascii="Times New Roman" w:hAnsi="Times New Roman"/>
                <w:sz w:val="18"/>
                <w:szCs w:val="18"/>
              </w:rPr>
              <w:t xml:space="preserve">Az Ön befektetése éves értékének 3,7%-a. </w:t>
            </w:r>
          </w:p>
          <w:p w14:paraId="6543C1BD" w14:textId="77777777" w:rsidR="006445C4" w:rsidRPr="00771854" w:rsidRDefault="006445C4" w:rsidP="00771854">
            <w:pPr>
              <w:autoSpaceDE w:val="0"/>
              <w:autoSpaceDN w:val="0"/>
              <w:adjustRightInd w:val="0"/>
              <w:spacing w:after="0" w:line="240" w:lineRule="auto"/>
              <w:jc w:val="both"/>
              <w:rPr>
                <w:rFonts w:ascii="Times New Roman" w:hAnsi="Times New Roman"/>
                <w:sz w:val="18"/>
                <w:szCs w:val="18"/>
              </w:rPr>
            </w:pPr>
            <w:r w:rsidRPr="00771854">
              <w:rPr>
                <w:rFonts w:ascii="Times New Roman" w:hAnsi="Times New Roman"/>
                <w:sz w:val="18"/>
                <w:szCs w:val="18"/>
              </w:rPr>
              <w:t xml:space="preserve">A „Folyó költségek” adat az Alapkezelő becslésén </w:t>
            </w:r>
            <w:proofErr w:type="gramStart"/>
            <w:r w:rsidRPr="00771854">
              <w:rPr>
                <w:rFonts w:ascii="Times New Roman" w:hAnsi="Times New Roman"/>
                <w:sz w:val="18"/>
                <w:szCs w:val="18"/>
              </w:rPr>
              <w:t>alapszik..</w:t>
            </w:r>
            <w:proofErr w:type="gramEnd"/>
          </w:p>
        </w:tc>
        <w:tc>
          <w:tcPr>
            <w:tcW w:w="1560" w:type="dxa"/>
          </w:tcPr>
          <w:p w14:paraId="736C4BF8" w14:textId="773A715B" w:rsidR="006445C4" w:rsidRPr="00771854" w:rsidRDefault="006445C4" w:rsidP="00771854">
            <w:pPr>
              <w:autoSpaceDE w:val="0"/>
              <w:autoSpaceDN w:val="0"/>
              <w:adjustRightInd w:val="0"/>
              <w:spacing w:after="0" w:line="240" w:lineRule="auto"/>
              <w:jc w:val="right"/>
              <w:rPr>
                <w:rFonts w:ascii="Times New Roman" w:hAnsi="Times New Roman"/>
                <w:sz w:val="18"/>
                <w:szCs w:val="18"/>
              </w:rPr>
            </w:pPr>
            <w:r w:rsidRPr="00771854">
              <w:rPr>
                <w:rFonts w:ascii="Times New Roman" w:hAnsi="Times New Roman"/>
                <w:sz w:val="18"/>
                <w:szCs w:val="18"/>
              </w:rPr>
              <w:t xml:space="preserve">150 573 Ft </w:t>
            </w:r>
          </w:p>
        </w:tc>
      </w:tr>
      <w:tr w:rsidR="006445C4" w:rsidRPr="00771854" w14:paraId="0C16B05D" w14:textId="77777777" w:rsidTr="00105314">
        <w:tc>
          <w:tcPr>
            <w:tcW w:w="2296" w:type="dxa"/>
          </w:tcPr>
          <w:p w14:paraId="75B168D6" w14:textId="77777777" w:rsidR="006445C4" w:rsidRPr="00771854" w:rsidRDefault="006445C4" w:rsidP="00771854">
            <w:pPr>
              <w:autoSpaceDE w:val="0"/>
              <w:autoSpaceDN w:val="0"/>
              <w:adjustRightInd w:val="0"/>
              <w:spacing w:after="0" w:line="240" w:lineRule="auto"/>
              <w:jc w:val="both"/>
              <w:rPr>
                <w:rFonts w:ascii="Times New Roman" w:hAnsi="Times New Roman"/>
                <w:sz w:val="18"/>
                <w:szCs w:val="18"/>
              </w:rPr>
            </w:pPr>
            <w:r w:rsidRPr="00771854">
              <w:rPr>
                <w:rFonts w:ascii="Times New Roman" w:hAnsi="Times New Roman"/>
                <w:sz w:val="18"/>
                <w:szCs w:val="18"/>
              </w:rPr>
              <w:t xml:space="preserve">Ügyleti költségek </w:t>
            </w:r>
          </w:p>
        </w:tc>
        <w:tc>
          <w:tcPr>
            <w:tcW w:w="6063" w:type="dxa"/>
          </w:tcPr>
          <w:p w14:paraId="320FE1AA" w14:textId="77777777" w:rsidR="006445C4" w:rsidRPr="00771854" w:rsidRDefault="006445C4" w:rsidP="00771854">
            <w:pPr>
              <w:autoSpaceDE w:val="0"/>
              <w:autoSpaceDN w:val="0"/>
              <w:adjustRightInd w:val="0"/>
              <w:spacing w:after="0" w:line="240" w:lineRule="auto"/>
              <w:jc w:val="both"/>
              <w:rPr>
                <w:rFonts w:ascii="Times New Roman" w:hAnsi="Times New Roman"/>
                <w:sz w:val="18"/>
                <w:szCs w:val="18"/>
              </w:rPr>
            </w:pPr>
            <w:r w:rsidRPr="00771854">
              <w:rPr>
                <w:rFonts w:ascii="Times New Roman" w:hAnsi="Times New Roman"/>
                <w:sz w:val="18"/>
                <w:szCs w:val="18"/>
              </w:rPr>
              <w:t xml:space="preserve">Az Ön befektetése éves értékének 0,1%-a. Ez a termék számára alapul szolgáló befektetések általunk történő vásárlása és eladása során felmerülő költségek becslése. A tényleges összeg attól függően fog változni, hogy mennyit </w:t>
            </w:r>
            <w:proofErr w:type="spellStart"/>
            <w:r w:rsidRPr="00771854">
              <w:rPr>
                <w:rFonts w:ascii="Times New Roman" w:hAnsi="Times New Roman"/>
                <w:sz w:val="18"/>
                <w:szCs w:val="18"/>
              </w:rPr>
              <w:t>vásárolunk</w:t>
            </w:r>
            <w:proofErr w:type="spellEnd"/>
            <w:r w:rsidRPr="00771854">
              <w:rPr>
                <w:rFonts w:ascii="Times New Roman" w:hAnsi="Times New Roman"/>
                <w:sz w:val="18"/>
                <w:szCs w:val="18"/>
              </w:rPr>
              <w:t xml:space="preserve"> és értékesítünk.</w:t>
            </w:r>
          </w:p>
        </w:tc>
        <w:tc>
          <w:tcPr>
            <w:tcW w:w="1560" w:type="dxa"/>
          </w:tcPr>
          <w:p w14:paraId="2650FD6B" w14:textId="77777777" w:rsidR="006445C4" w:rsidRPr="00771854" w:rsidRDefault="006445C4" w:rsidP="00771854">
            <w:pPr>
              <w:autoSpaceDE w:val="0"/>
              <w:autoSpaceDN w:val="0"/>
              <w:adjustRightInd w:val="0"/>
              <w:spacing w:after="0" w:line="240" w:lineRule="auto"/>
              <w:jc w:val="right"/>
              <w:rPr>
                <w:rFonts w:ascii="Times New Roman" w:hAnsi="Times New Roman"/>
                <w:sz w:val="18"/>
                <w:szCs w:val="18"/>
              </w:rPr>
            </w:pPr>
            <w:r w:rsidRPr="00771854">
              <w:rPr>
                <w:rFonts w:ascii="Times New Roman" w:hAnsi="Times New Roman"/>
                <w:sz w:val="18"/>
                <w:szCs w:val="18"/>
              </w:rPr>
              <w:t xml:space="preserve">2 050 Ft </w:t>
            </w:r>
          </w:p>
        </w:tc>
      </w:tr>
      <w:tr w:rsidR="006445C4" w:rsidRPr="00771854" w14:paraId="7884E2AD" w14:textId="77777777" w:rsidTr="00105314">
        <w:tc>
          <w:tcPr>
            <w:tcW w:w="9919" w:type="dxa"/>
            <w:gridSpan w:val="3"/>
          </w:tcPr>
          <w:p w14:paraId="5D78A5FE" w14:textId="77777777" w:rsidR="006445C4" w:rsidRPr="00771854" w:rsidRDefault="006445C4" w:rsidP="00771854">
            <w:pPr>
              <w:autoSpaceDE w:val="0"/>
              <w:autoSpaceDN w:val="0"/>
              <w:adjustRightInd w:val="0"/>
              <w:spacing w:after="0" w:line="240" w:lineRule="auto"/>
              <w:rPr>
                <w:rFonts w:ascii="Times New Roman" w:hAnsi="Times New Roman"/>
                <w:sz w:val="18"/>
                <w:szCs w:val="18"/>
              </w:rPr>
            </w:pPr>
            <w:r w:rsidRPr="00771854">
              <w:rPr>
                <w:rFonts w:ascii="Times New Roman" w:hAnsi="Times New Roman"/>
                <w:sz w:val="18"/>
                <w:szCs w:val="18"/>
              </w:rPr>
              <w:t>Meghatározott feltételek mellett felmerülő járulékos költségek</w:t>
            </w:r>
          </w:p>
        </w:tc>
      </w:tr>
      <w:tr w:rsidR="006445C4" w:rsidRPr="00771854" w14:paraId="5F9ED09B" w14:textId="77777777" w:rsidTr="00105314">
        <w:tc>
          <w:tcPr>
            <w:tcW w:w="2296" w:type="dxa"/>
            <w:vAlign w:val="center"/>
          </w:tcPr>
          <w:p w14:paraId="1CF90C26" w14:textId="77777777" w:rsidR="006445C4" w:rsidRPr="00771854" w:rsidRDefault="006445C4" w:rsidP="00771854">
            <w:pPr>
              <w:autoSpaceDE w:val="0"/>
              <w:autoSpaceDN w:val="0"/>
              <w:adjustRightInd w:val="0"/>
              <w:spacing w:after="0" w:line="240" w:lineRule="auto"/>
              <w:jc w:val="both"/>
              <w:rPr>
                <w:rFonts w:ascii="Times New Roman" w:hAnsi="Times New Roman"/>
                <w:sz w:val="18"/>
                <w:szCs w:val="18"/>
              </w:rPr>
            </w:pPr>
            <w:r w:rsidRPr="00771854">
              <w:rPr>
                <w:rFonts w:ascii="Times New Roman" w:hAnsi="Times New Roman"/>
                <w:sz w:val="18"/>
                <w:szCs w:val="18"/>
              </w:rPr>
              <w:t>Teljesítménydíjak</w:t>
            </w:r>
          </w:p>
        </w:tc>
        <w:tc>
          <w:tcPr>
            <w:tcW w:w="6063" w:type="dxa"/>
            <w:vAlign w:val="center"/>
          </w:tcPr>
          <w:p w14:paraId="1953C6AE" w14:textId="77777777" w:rsidR="006445C4" w:rsidRPr="00771854" w:rsidRDefault="006445C4" w:rsidP="00771854">
            <w:pPr>
              <w:autoSpaceDE w:val="0"/>
              <w:autoSpaceDN w:val="0"/>
              <w:adjustRightInd w:val="0"/>
              <w:spacing w:after="0" w:line="240" w:lineRule="auto"/>
              <w:jc w:val="both"/>
              <w:rPr>
                <w:rFonts w:ascii="Times New Roman" w:hAnsi="Times New Roman"/>
                <w:sz w:val="18"/>
                <w:szCs w:val="18"/>
              </w:rPr>
            </w:pPr>
            <w:r w:rsidRPr="00771854">
              <w:rPr>
                <w:rFonts w:ascii="Times New Roman" w:hAnsi="Times New Roman"/>
                <w:sz w:val="18"/>
                <w:szCs w:val="18"/>
              </w:rPr>
              <w:t xml:space="preserve">Az Alap a relatív teljesítményének mérésére szolgáló referenciamutatóként </w:t>
            </w:r>
            <w:proofErr w:type="spellStart"/>
            <w:r w:rsidRPr="00771854">
              <w:rPr>
                <w:rFonts w:ascii="Times New Roman" w:hAnsi="Times New Roman"/>
                <w:sz w:val="18"/>
                <w:szCs w:val="18"/>
              </w:rPr>
              <w:t>High-on</w:t>
            </w:r>
            <w:proofErr w:type="spellEnd"/>
            <w:r w:rsidRPr="00771854">
              <w:rPr>
                <w:rFonts w:ascii="Times New Roman" w:hAnsi="Times New Roman"/>
                <w:sz w:val="18"/>
                <w:szCs w:val="18"/>
              </w:rPr>
              <w:t xml:space="preserve"> - </w:t>
            </w:r>
            <w:proofErr w:type="spellStart"/>
            <w:r w:rsidRPr="00771854">
              <w:rPr>
                <w:rFonts w:ascii="Times New Roman" w:hAnsi="Times New Roman"/>
                <w:sz w:val="18"/>
                <w:szCs w:val="18"/>
              </w:rPr>
              <w:t>High</w:t>
            </w:r>
            <w:proofErr w:type="spellEnd"/>
            <w:r w:rsidRPr="00771854">
              <w:rPr>
                <w:rFonts w:ascii="Times New Roman" w:hAnsi="Times New Roman"/>
                <w:sz w:val="18"/>
                <w:szCs w:val="18"/>
              </w:rPr>
              <w:t xml:space="preserve"> (</w:t>
            </w:r>
            <w:proofErr w:type="spellStart"/>
            <w:r w:rsidRPr="00771854">
              <w:rPr>
                <w:rFonts w:ascii="Times New Roman" w:hAnsi="Times New Roman"/>
                <w:sz w:val="18"/>
                <w:szCs w:val="18"/>
              </w:rPr>
              <w:t>HoH</w:t>
            </w:r>
            <w:proofErr w:type="spellEnd"/>
            <w:r w:rsidRPr="00771854">
              <w:rPr>
                <w:rFonts w:ascii="Times New Roman" w:hAnsi="Times New Roman"/>
                <w:sz w:val="18"/>
                <w:szCs w:val="18"/>
              </w:rPr>
              <w:t>) modellt és minimum hozamkorlátot alkalmaz. Amennyiben az adott évben az Alap a minimum hozamkorlátnál magasabb hozamot ér el, úgy az Alapkezelő teljesítménydíjra jogosult. A teljesítménydíj mértéke a minimum hozamkorlát feletti hozam maximum 25%-a.</w:t>
            </w:r>
          </w:p>
          <w:p w14:paraId="3DF9AF84" w14:textId="77777777" w:rsidR="006445C4" w:rsidRPr="00771854" w:rsidRDefault="006445C4" w:rsidP="00771854">
            <w:pPr>
              <w:autoSpaceDE w:val="0"/>
              <w:autoSpaceDN w:val="0"/>
              <w:adjustRightInd w:val="0"/>
              <w:spacing w:after="0" w:line="240" w:lineRule="auto"/>
              <w:jc w:val="both"/>
              <w:rPr>
                <w:rFonts w:ascii="Times New Roman" w:hAnsi="Times New Roman"/>
                <w:sz w:val="18"/>
                <w:szCs w:val="18"/>
              </w:rPr>
            </w:pPr>
            <w:r w:rsidRPr="00771854">
              <w:rPr>
                <w:rFonts w:ascii="Times New Roman" w:hAnsi="Times New Roman"/>
                <w:sz w:val="18"/>
                <w:szCs w:val="18"/>
              </w:rPr>
              <w:t>A tényleges összeg attól függően fog változni, hogy az Ön befektetése mennyire jól teljesít.</w:t>
            </w:r>
          </w:p>
        </w:tc>
        <w:tc>
          <w:tcPr>
            <w:tcW w:w="1560" w:type="dxa"/>
            <w:vAlign w:val="center"/>
          </w:tcPr>
          <w:p w14:paraId="2ECF3E89" w14:textId="7AEF2298" w:rsidR="006445C4" w:rsidRPr="00771854" w:rsidRDefault="006445C4" w:rsidP="00771854">
            <w:pPr>
              <w:autoSpaceDE w:val="0"/>
              <w:autoSpaceDN w:val="0"/>
              <w:adjustRightInd w:val="0"/>
              <w:spacing w:after="0" w:line="240" w:lineRule="auto"/>
              <w:jc w:val="right"/>
              <w:rPr>
                <w:rFonts w:ascii="Times New Roman" w:hAnsi="Times New Roman"/>
                <w:sz w:val="18"/>
                <w:szCs w:val="18"/>
              </w:rPr>
            </w:pPr>
            <w:r w:rsidRPr="00771854">
              <w:rPr>
                <w:rFonts w:ascii="Times New Roman" w:hAnsi="Times New Roman"/>
                <w:sz w:val="18"/>
                <w:szCs w:val="18"/>
              </w:rPr>
              <w:t>400 000 Ft</w:t>
            </w:r>
          </w:p>
        </w:tc>
      </w:tr>
    </w:tbl>
    <w:p w14:paraId="0EDCE2C7" w14:textId="77777777" w:rsidR="006445C4" w:rsidRPr="00771854" w:rsidRDefault="006445C4" w:rsidP="00771854">
      <w:pPr>
        <w:pStyle w:val="Kiemeltidzet"/>
        <w:spacing w:before="0" w:after="0" w:line="240" w:lineRule="auto"/>
        <w:ind w:left="-426" w:right="0"/>
        <w:jc w:val="both"/>
        <w:rPr>
          <w:rFonts w:ascii="Times New Roman" w:hAnsi="Times New Roman"/>
          <w:b/>
          <w:sz w:val="18"/>
          <w:szCs w:val="18"/>
        </w:rPr>
      </w:pPr>
      <w:r w:rsidRPr="00771854">
        <w:rPr>
          <w:rFonts w:ascii="Times New Roman" w:hAnsi="Times New Roman"/>
          <w:b/>
          <w:sz w:val="18"/>
          <w:szCs w:val="18"/>
        </w:rPr>
        <w:t>*</w:t>
      </w:r>
      <w:r w:rsidRPr="00771854">
        <w:rPr>
          <w:rFonts w:ascii="Times New Roman" w:hAnsi="Times New Roman"/>
          <w:caps w:val="0"/>
          <w:color w:val="auto"/>
          <w:spacing w:val="0"/>
          <w:sz w:val="18"/>
          <w:szCs w:val="18"/>
        </w:rPr>
        <w:t>Ez a befektetés névleges értékéhez viszonyított költségeket szemlélteti</w:t>
      </w:r>
    </w:p>
    <w:p w14:paraId="3D880D28" w14:textId="77777777" w:rsidR="00F61EF1" w:rsidRPr="00771854" w:rsidRDefault="00F61EF1" w:rsidP="00771854">
      <w:pPr>
        <w:pStyle w:val="Kiemeltidzet"/>
        <w:spacing w:before="0" w:after="0" w:line="240" w:lineRule="auto"/>
        <w:ind w:left="-426" w:right="0"/>
        <w:jc w:val="both"/>
        <w:rPr>
          <w:rFonts w:ascii="Times New Roman" w:hAnsi="Times New Roman"/>
          <w:b/>
          <w:sz w:val="24"/>
          <w:szCs w:val="24"/>
        </w:rPr>
      </w:pPr>
      <w:r w:rsidRPr="00771854">
        <w:rPr>
          <w:rFonts w:ascii="Times New Roman" w:hAnsi="Times New Roman"/>
          <w:b/>
          <w:sz w:val="24"/>
          <w:szCs w:val="24"/>
        </w:rPr>
        <w:t xml:space="preserve">meddig tartsam meg a terméket, és hogyan juthatok korábban a pénzemhez? </w:t>
      </w:r>
    </w:p>
    <w:p w14:paraId="276D9E69" w14:textId="77777777" w:rsidR="00F61EF1" w:rsidRPr="00771854" w:rsidRDefault="00F61EF1" w:rsidP="00771854">
      <w:pPr>
        <w:pStyle w:val="Kiemeltidzet"/>
        <w:spacing w:before="0" w:after="0" w:line="240" w:lineRule="auto"/>
        <w:ind w:left="-426" w:right="0"/>
        <w:jc w:val="both"/>
        <w:rPr>
          <w:rFonts w:ascii="Times New Roman" w:hAnsi="Times New Roman"/>
          <w:b/>
          <w:sz w:val="24"/>
          <w:szCs w:val="24"/>
        </w:rPr>
        <w:sectPr w:rsidR="00F61EF1" w:rsidRPr="00771854" w:rsidSect="00B37287">
          <w:type w:val="continuous"/>
          <w:pgSz w:w="11906" w:h="16838"/>
          <w:pgMar w:top="851" w:right="991" w:bottom="1417" w:left="1417" w:header="708" w:footer="708" w:gutter="0"/>
          <w:cols w:space="708"/>
          <w:rtlGutter/>
          <w:docGrid w:linePitch="360"/>
        </w:sectPr>
      </w:pPr>
    </w:p>
    <w:p w14:paraId="3362E4AF" w14:textId="77777777" w:rsidR="00F61EF1" w:rsidRPr="00771854" w:rsidRDefault="00F61EF1" w:rsidP="00771854">
      <w:pPr>
        <w:autoSpaceDE w:val="0"/>
        <w:autoSpaceDN w:val="0"/>
        <w:adjustRightInd w:val="0"/>
        <w:spacing w:after="0" w:line="240" w:lineRule="auto"/>
        <w:ind w:left="-426"/>
        <w:jc w:val="both"/>
        <w:rPr>
          <w:rFonts w:ascii="Times New Roman" w:hAnsi="Times New Roman"/>
          <w:sz w:val="18"/>
          <w:szCs w:val="18"/>
        </w:rPr>
      </w:pPr>
      <w:r w:rsidRPr="00771854">
        <w:rPr>
          <w:rFonts w:ascii="Times New Roman" w:hAnsi="Times New Roman"/>
          <w:sz w:val="18"/>
          <w:szCs w:val="18"/>
        </w:rPr>
        <w:t xml:space="preserve">Ajánlott tartási idő: </w:t>
      </w:r>
      <w:r w:rsidRPr="00771854">
        <w:rPr>
          <w:rFonts w:ascii="Times New Roman" w:hAnsi="Times New Roman"/>
          <w:noProof/>
          <w:sz w:val="18"/>
          <w:szCs w:val="18"/>
        </w:rPr>
        <w:t>3</w:t>
      </w:r>
      <w:r w:rsidRPr="00771854">
        <w:rPr>
          <w:rFonts w:ascii="Times New Roman" w:hAnsi="Times New Roman"/>
          <w:sz w:val="18"/>
          <w:szCs w:val="18"/>
        </w:rPr>
        <w:t xml:space="preserve"> év. Az ajánlott tartási idő meghatározására az adott sorozat becsült volatilitása és a felmerülő költségek várható megtérülése alapján került sor. A befektető, ha kéri, a befektetési jegyeit minden forgalmazási napon visszaválthatja a Forgalmazónál. Visszaváltás esetén a Forgalmazó kilépési jutalékot számíthat fel. Az ajánlott tartási idő előtti visszaváltás esetén a felszámításra kerülő költség várhatóan nem áll majd összhangban a befektető által elérhető hozammal.</w:t>
      </w:r>
    </w:p>
    <w:p w14:paraId="73EBCC70" w14:textId="77777777" w:rsidR="00F61EF1" w:rsidRPr="00771854" w:rsidRDefault="00F61EF1" w:rsidP="00771854">
      <w:pPr>
        <w:pStyle w:val="Kiemeltidzet"/>
        <w:spacing w:before="0" w:after="0" w:line="240" w:lineRule="auto"/>
        <w:ind w:left="-426" w:right="0"/>
        <w:rPr>
          <w:rFonts w:ascii="Times New Roman" w:hAnsi="Times New Roman"/>
          <w:b/>
          <w:sz w:val="24"/>
          <w:szCs w:val="24"/>
        </w:rPr>
      </w:pPr>
      <w:r w:rsidRPr="00771854">
        <w:rPr>
          <w:rFonts w:ascii="Times New Roman" w:hAnsi="Times New Roman"/>
          <w:b/>
          <w:sz w:val="24"/>
          <w:szCs w:val="24"/>
        </w:rPr>
        <w:t xml:space="preserve">hogyan tehetek panaszt? </w:t>
      </w:r>
    </w:p>
    <w:p w14:paraId="380ECDBD" w14:textId="77777777" w:rsidR="00F61EF1" w:rsidRPr="00771854" w:rsidRDefault="00F61EF1" w:rsidP="00771854">
      <w:pPr>
        <w:pStyle w:val="Kiemeltidzet"/>
        <w:spacing w:before="0" w:after="0" w:line="240" w:lineRule="auto"/>
        <w:ind w:left="-426" w:right="0"/>
        <w:rPr>
          <w:rFonts w:ascii="Times New Roman" w:hAnsi="Times New Roman"/>
          <w:b/>
          <w:sz w:val="24"/>
          <w:szCs w:val="24"/>
        </w:rPr>
        <w:sectPr w:rsidR="00F61EF1" w:rsidRPr="00771854" w:rsidSect="00B37287">
          <w:type w:val="continuous"/>
          <w:pgSz w:w="11906" w:h="16838"/>
          <w:pgMar w:top="851" w:right="991" w:bottom="1417" w:left="1417" w:header="708" w:footer="708" w:gutter="0"/>
          <w:cols w:space="708"/>
          <w:rtlGutter/>
          <w:docGrid w:linePitch="360"/>
        </w:sectPr>
      </w:pPr>
    </w:p>
    <w:p w14:paraId="2AF7989D" w14:textId="77777777" w:rsidR="00F61EF1" w:rsidRPr="00771854" w:rsidRDefault="00F61EF1" w:rsidP="00771854">
      <w:pPr>
        <w:autoSpaceDE w:val="0"/>
        <w:autoSpaceDN w:val="0"/>
        <w:adjustRightInd w:val="0"/>
        <w:spacing w:after="0" w:line="240" w:lineRule="auto"/>
        <w:ind w:left="-426"/>
        <w:jc w:val="both"/>
        <w:rPr>
          <w:rFonts w:ascii="Times New Roman" w:hAnsi="Times New Roman"/>
          <w:sz w:val="18"/>
          <w:szCs w:val="18"/>
        </w:rPr>
      </w:pPr>
      <w:r w:rsidRPr="00771854">
        <w:rPr>
          <w:rFonts w:ascii="Times New Roman" w:hAnsi="Times New Roman"/>
          <w:sz w:val="18"/>
          <w:szCs w:val="18"/>
        </w:rPr>
        <w:t xml:space="preserve">Az Alappal kapcsolatos panasz az Alapkezelőhöz az alábbi elérhetőségeken nyújtható be szóban (személyesen és telefonon), illetve írásban (postai úton és e-mailen). A panaszkezelési szabályzat, illetve a kapcsolódó formanyomtatvány elérhető az </w:t>
      </w:r>
      <w:hyperlink r:id="rId10" w:history="1">
        <w:r w:rsidRPr="00771854">
          <w:rPr>
            <w:rFonts w:ascii="Times New Roman" w:hAnsi="Times New Roman"/>
            <w:sz w:val="18"/>
            <w:szCs w:val="18"/>
          </w:rPr>
          <w:t>eqa.hu/</w:t>
        </w:r>
        <w:proofErr w:type="spellStart"/>
        <w:r w:rsidRPr="00771854">
          <w:rPr>
            <w:rFonts w:ascii="Times New Roman" w:hAnsi="Times New Roman"/>
            <w:sz w:val="18"/>
            <w:szCs w:val="18"/>
          </w:rPr>
          <w:t>panaszkezeles</w:t>
        </w:r>
        <w:proofErr w:type="spellEnd"/>
      </w:hyperlink>
      <w:r w:rsidRPr="00771854">
        <w:rPr>
          <w:rFonts w:ascii="Times New Roman" w:hAnsi="Times New Roman"/>
          <w:sz w:val="18"/>
          <w:szCs w:val="18"/>
        </w:rPr>
        <w:t xml:space="preserve"> oldalon. </w:t>
      </w:r>
    </w:p>
    <w:p w14:paraId="77A6876A" w14:textId="77777777" w:rsidR="00F61EF1" w:rsidRPr="00771854" w:rsidRDefault="00F61EF1" w:rsidP="00771854">
      <w:pPr>
        <w:autoSpaceDE w:val="0"/>
        <w:autoSpaceDN w:val="0"/>
        <w:adjustRightInd w:val="0"/>
        <w:spacing w:after="0" w:line="240" w:lineRule="auto"/>
        <w:ind w:left="-426"/>
        <w:jc w:val="both"/>
        <w:rPr>
          <w:rFonts w:ascii="Times New Roman" w:hAnsi="Times New Roman"/>
          <w:sz w:val="18"/>
          <w:szCs w:val="18"/>
        </w:rPr>
      </w:pPr>
      <w:r w:rsidRPr="00771854">
        <w:rPr>
          <w:rFonts w:ascii="Times New Roman" w:hAnsi="Times New Roman"/>
          <w:sz w:val="18"/>
          <w:szCs w:val="18"/>
        </w:rPr>
        <w:t xml:space="preserve">Az Alapkezelő székhelye és postai címe: 1026 Budapest, Pasaréti út 122-124., e-mail címe: </w:t>
      </w:r>
      <w:hyperlink r:id="rId11" w:history="1"/>
      <w:r w:rsidRPr="00771854">
        <w:rPr>
          <w:rFonts w:ascii="Times New Roman" w:hAnsi="Times New Roman"/>
          <w:sz w:val="18"/>
          <w:szCs w:val="18"/>
        </w:rPr>
        <w:t>panasz@eqa.hu, telefonszáma: +36-1-808-9251. Az Alap befektetési jegyeinek forgalmazásával kapcsolatos panasz a Forgalmazó részére is benyújtható.</w:t>
      </w:r>
    </w:p>
    <w:p w14:paraId="4AA5D92E" w14:textId="77777777" w:rsidR="00F61EF1" w:rsidRPr="00771854" w:rsidRDefault="00F61EF1" w:rsidP="00771854">
      <w:pPr>
        <w:pStyle w:val="Kiemeltidzet"/>
        <w:spacing w:before="0" w:after="0" w:line="240" w:lineRule="auto"/>
        <w:ind w:left="-426" w:right="0"/>
        <w:rPr>
          <w:rFonts w:ascii="Times New Roman" w:hAnsi="Times New Roman"/>
          <w:b/>
          <w:sz w:val="24"/>
          <w:szCs w:val="24"/>
        </w:rPr>
      </w:pPr>
      <w:r w:rsidRPr="00771854">
        <w:rPr>
          <w:rFonts w:ascii="Times New Roman" w:hAnsi="Times New Roman"/>
          <w:b/>
          <w:sz w:val="24"/>
          <w:szCs w:val="24"/>
        </w:rPr>
        <w:t xml:space="preserve">további fontos információk </w:t>
      </w:r>
    </w:p>
    <w:p w14:paraId="5789944C" w14:textId="77777777" w:rsidR="00F61EF1" w:rsidRPr="00771854" w:rsidRDefault="00F61EF1" w:rsidP="00771854">
      <w:pPr>
        <w:pStyle w:val="Kiemeltidzet"/>
        <w:spacing w:before="0" w:after="0" w:line="240" w:lineRule="auto"/>
        <w:ind w:left="-426" w:right="0"/>
        <w:rPr>
          <w:rFonts w:ascii="Times New Roman" w:hAnsi="Times New Roman"/>
          <w:b/>
          <w:sz w:val="24"/>
          <w:szCs w:val="24"/>
        </w:rPr>
        <w:sectPr w:rsidR="00F61EF1" w:rsidRPr="00771854" w:rsidSect="00B37287">
          <w:type w:val="continuous"/>
          <w:pgSz w:w="11906" w:h="16838"/>
          <w:pgMar w:top="851" w:right="991" w:bottom="1417" w:left="1417" w:header="708" w:footer="708" w:gutter="0"/>
          <w:cols w:space="708"/>
          <w:rtlGutter/>
          <w:docGrid w:linePitch="360"/>
        </w:sectPr>
      </w:pPr>
    </w:p>
    <w:p w14:paraId="540B189A" w14:textId="77777777" w:rsidR="00F61EF1" w:rsidRPr="00771854" w:rsidRDefault="00F61EF1" w:rsidP="00771854">
      <w:pPr>
        <w:autoSpaceDE w:val="0"/>
        <w:autoSpaceDN w:val="0"/>
        <w:adjustRightInd w:val="0"/>
        <w:spacing w:after="0" w:line="240" w:lineRule="auto"/>
        <w:ind w:left="-426"/>
        <w:jc w:val="both"/>
        <w:rPr>
          <w:rFonts w:ascii="Times New Roman" w:hAnsi="Times New Roman"/>
          <w:sz w:val="18"/>
          <w:szCs w:val="18"/>
        </w:rPr>
      </w:pPr>
      <w:r w:rsidRPr="00771854">
        <w:rPr>
          <w:rFonts w:ascii="Times New Roman" w:hAnsi="Times New Roman"/>
          <w:sz w:val="18"/>
          <w:szCs w:val="18"/>
        </w:rPr>
        <w:t>Az Alap mindenkor hatályos tájékoztatója és kezelési szabályzata – jogi kötelezettség alapján – elérhető az Alapkezelő honlapján (</w:t>
      </w:r>
      <w:hyperlink r:id="rId12" w:history="1">
        <w:r w:rsidRPr="00771854">
          <w:rPr>
            <w:rFonts w:ascii="Times New Roman" w:hAnsi="Times New Roman"/>
            <w:sz w:val="18"/>
            <w:szCs w:val="18"/>
          </w:rPr>
          <w:t>eqa.hu</w:t>
        </w:r>
      </w:hyperlink>
      <w:r w:rsidRPr="00771854">
        <w:rPr>
          <w:rFonts w:ascii="Times New Roman" w:hAnsi="Times New Roman"/>
          <w:sz w:val="18"/>
          <w:szCs w:val="18"/>
        </w:rPr>
        <w:t xml:space="preserve">), illetve – a befektető kérésére – az Alapkezelő székhelyén (1026 Budapest, Pasaréti út 122-124.), illetve az Alap forgalmazója székhelyén. </w:t>
      </w:r>
    </w:p>
    <w:p w14:paraId="48BBA27D" w14:textId="77777777" w:rsidR="00F61EF1" w:rsidRPr="00771854" w:rsidRDefault="00F61EF1" w:rsidP="00771854">
      <w:pPr>
        <w:autoSpaceDE w:val="0"/>
        <w:autoSpaceDN w:val="0"/>
        <w:adjustRightInd w:val="0"/>
        <w:spacing w:before="60" w:after="60" w:line="240" w:lineRule="auto"/>
        <w:ind w:left="-426"/>
        <w:jc w:val="both"/>
        <w:rPr>
          <w:rFonts w:ascii="Times New Roman" w:hAnsi="Times New Roman"/>
          <w:sz w:val="18"/>
          <w:szCs w:val="18"/>
          <w:u w:val="single"/>
        </w:rPr>
      </w:pPr>
      <w:r w:rsidRPr="00771854">
        <w:rPr>
          <w:rFonts w:ascii="Times New Roman" w:hAnsi="Times New Roman"/>
          <w:sz w:val="18"/>
          <w:szCs w:val="18"/>
          <w:u w:val="single"/>
        </w:rPr>
        <w:t xml:space="preserve">Múltbeli teljesítmény: </w:t>
      </w:r>
    </w:p>
    <w:p w14:paraId="49D920BB" w14:textId="752F5D85" w:rsidR="00F61EF1" w:rsidRPr="00771854" w:rsidRDefault="00F61EF1" w:rsidP="00771854">
      <w:pPr>
        <w:autoSpaceDE w:val="0"/>
        <w:autoSpaceDN w:val="0"/>
        <w:adjustRightInd w:val="0"/>
        <w:spacing w:after="0" w:line="240" w:lineRule="auto"/>
        <w:ind w:left="-426"/>
        <w:jc w:val="both"/>
        <w:rPr>
          <w:rFonts w:ascii="Times New Roman" w:hAnsi="Times New Roman"/>
          <w:b/>
          <w:sz w:val="18"/>
          <w:szCs w:val="18"/>
        </w:rPr>
      </w:pPr>
      <w:r w:rsidRPr="00771854">
        <w:rPr>
          <w:rFonts w:ascii="Times New Roman" w:hAnsi="Times New Roman"/>
          <w:b/>
          <w:color w:val="000000"/>
          <w:sz w:val="18"/>
          <w:szCs w:val="18"/>
        </w:rPr>
        <w:t>Mivel az Alap egy teljes naptári évre vonatkozó teljesítményadatokkal még nem rendelkezik, ezért nem áll rendelkezésre elegendő adat ahhoz, hogy a befektetők számára a múltbeli teljesítményről hasznos tájékoztatást adjanak</w:t>
      </w:r>
      <w:r w:rsidRPr="00771854">
        <w:rPr>
          <w:rFonts w:ascii="Times New Roman" w:hAnsi="Times New Roman"/>
          <w:b/>
          <w:sz w:val="18"/>
          <w:szCs w:val="18"/>
        </w:rPr>
        <w:t xml:space="preserve">. </w:t>
      </w:r>
    </w:p>
    <w:sectPr w:rsidR="00F61EF1" w:rsidRPr="00771854" w:rsidSect="00F61EF1">
      <w:type w:val="continuous"/>
      <w:pgSz w:w="11906" w:h="16838"/>
      <w:pgMar w:top="851" w:right="991"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5326" w14:textId="77777777" w:rsidR="00F61EF1" w:rsidRDefault="00F61EF1" w:rsidP="0070199B">
      <w:pPr>
        <w:spacing w:after="0" w:line="240" w:lineRule="auto"/>
      </w:pPr>
      <w:r>
        <w:separator/>
      </w:r>
    </w:p>
  </w:endnote>
  <w:endnote w:type="continuationSeparator" w:id="0">
    <w:p w14:paraId="30CEF970" w14:textId="77777777" w:rsidR="00F61EF1" w:rsidRDefault="00F61EF1" w:rsidP="00701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F614" w14:textId="77777777" w:rsidR="00F61EF1" w:rsidRDefault="00F61EF1" w:rsidP="0070199B">
      <w:pPr>
        <w:spacing w:after="0" w:line="240" w:lineRule="auto"/>
      </w:pPr>
      <w:r>
        <w:separator/>
      </w:r>
    </w:p>
  </w:footnote>
  <w:footnote w:type="continuationSeparator" w:id="0">
    <w:p w14:paraId="74A8E3CD" w14:textId="77777777" w:rsidR="00F61EF1" w:rsidRDefault="00F61EF1" w:rsidP="007019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6E2"/>
    <w:rsid w:val="00004014"/>
    <w:rsid w:val="000211AE"/>
    <w:rsid w:val="00021BC4"/>
    <w:rsid w:val="00033480"/>
    <w:rsid w:val="00036487"/>
    <w:rsid w:val="000422CA"/>
    <w:rsid w:val="00044BC1"/>
    <w:rsid w:val="000672BC"/>
    <w:rsid w:val="00067464"/>
    <w:rsid w:val="00071752"/>
    <w:rsid w:val="00077E35"/>
    <w:rsid w:val="00081F1E"/>
    <w:rsid w:val="00085672"/>
    <w:rsid w:val="0008740A"/>
    <w:rsid w:val="000879C2"/>
    <w:rsid w:val="000A244D"/>
    <w:rsid w:val="000A6610"/>
    <w:rsid w:val="000B139D"/>
    <w:rsid w:val="000B3978"/>
    <w:rsid w:val="000E7263"/>
    <w:rsid w:val="000F55C6"/>
    <w:rsid w:val="000F74B4"/>
    <w:rsid w:val="001053FC"/>
    <w:rsid w:val="00121806"/>
    <w:rsid w:val="00123184"/>
    <w:rsid w:val="00127EFC"/>
    <w:rsid w:val="00131AD6"/>
    <w:rsid w:val="0014242A"/>
    <w:rsid w:val="001469A1"/>
    <w:rsid w:val="001547A5"/>
    <w:rsid w:val="00161C86"/>
    <w:rsid w:val="00170837"/>
    <w:rsid w:val="00180C79"/>
    <w:rsid w:val="00182516"/>
    <w:rsid w:val="001D6991"/>
    <w:rsid w:val="001E1060"/>
    <w:rsid w:val="001F05B3"/>
    <w:rsid w:val="001F1421"/>
    <w:rsid w:val="001F7347"/>
    <w:rsid w:val="00211122"/>
    <w:rsid w:val="00216420"/>
    <w:rsid w:val="0022166D"/>
    <w:rsid w:val="00225839"/>
    <w:rsid w:val="0022710B"/>
    <w:rsid w:val="002351EB"/>
    <w:rsid w:val="00240B11"/>
    <w:rsid w:val="00267261"/>
    <w:rsid w:val="00271C49"/>
    <w:rsid w:val="002840BF"/>
    <w:rsid w:val="00285AAC"/>
    <w:rsid w:val="002915CD"/>
    <w:rsid w:val="00293080"/>
    <w:rsid w:val="00295FDE"/>
    <w:rsid w:val="002A1043"/>
    <w:rsid w:val="002A43A4"/>
    <w:rsid w:val="002C66F3"/>
    <w:rsid w:val="002C6D3B"/>
    <w:rsid w:val="002F1D90"/>
    <w:rsid w:val="003010C6"/>
    <w:rsid w:val="00312245"/>
    <w:rsid w:val="0031651A"/>
    <w:rsid w:val="00320181"/>
    <w:rsid w:val="00325195"/>
    <w:rsid w:val="00341279"/>
    <w:rsid w:val="00363D05"/>
    <w:rsid w:val="00372AFD"/>
    <w:rsid w:val="0037338E"/>
    <w:rsid w:val="003A388A"/>
    <w:rsid w:val="003B09D0"/>
    <w:rsid w:val="003C4198"/>
    <w:rsid w:val="003D0135"/>
    <w:rsid w:val="003D0A62"/>
    <w:rsid w:val="004039E0"/>
    <w:rsid w:val="00405C6F"/>
    <w:rsid w:val="00424A71"/>
    <w:rsid w:val="0043066B"/>
    <w:rsid w:val="00431666"/>
    <w:rsid w:val="00435FD8"/>
    <w:rsid w:val="004543D6"/>
    <w:rsid w:val="004759FF"/>
    <w:rsid w:val="004A2E8A"/>
    <w:rsid w:val="004A4FB1"/>
    <w:rsid w:val="004B1F69"/>
    <w:rsid w:val="004B3267"/>
    <w:rsid w:val="004B70B9"/>
    <w:rsid w:val="004B7B13"/>
    <w:rsid w:val="004C3736"/>
    <w:rsid w:val="004C38C9"/>
    <w:rsid w:val="004C78A7"/>
    <w:rsid w:val="004D619E"/>
    <w:rsid w:val="004E0FC0"/>
    <w:rsid w:val="00506A4B"/>
    <w:rsid w:val="005208C8"/>
    <w:rsid w:val="00522BA2"/>
    <w:rsid w:val="00533C92"/>
    <w:rsid w:val="00543552"/>
    <w:rsid w:val="005620CF"/>
    <w:rsid w:val="00565563"/>
    <w:rsid w:val="00584015"/>
    <w:rsid w:val="0058451E"/>
    <w:rsid w:val="00587ECD"/>
    <w:rsid w:val="005904AA"/>
    <w:rsid w:val="005A0081"/>
    <w:rsid w:val="005A43AD"/>
    <w:rsid w:val="005C0E87"/>
    <w:rsid w:val="005D3BFA"/>
    <w:rsid w:val="005E36A9"/>
    <w:rsid w:val="006051C6"/>
    <w:rsid w:val="0061490C"/>
    <w:rsid w:val="00615546"/>
    <w:rsid w:val="0062033C"/>
    <w:rsid w:val="0062558F"/>
    <w:rsid w:val="006445C4"/>
    <w:rsid w:val="00650EC9"/>
    <w:rsid w:val="00662234"/>
    <w:rsid w:val="00674256"/>
    <w:rsid w:val="006836D3"/>
    <w:rsid w:val="00691BBA"/>
    <w:rsid w:val="006B4CA2"/>
    <w:rsid w:val="006D36D9"/>
    <w:rsid w:val="006D4494"/>
    <w:rsid w:val="006D5E25"/>
    <w:rsid w:val="006E0B7B"/>
    <w:rsid w:val="006F236E"/>
    <w:rsid w:val="0070199B"/>
    <w:rsid w:val="00707707"/>
    <w:rsid w:val="00710098"/>
    <w:rsid w:val="00715F2B"/>
    <w:rsid w:val="00717A80"/>
    <w:rsid w:val="00735E38"/>
    <w:rsid w:val="00761912"/>
    <w:rsid w:val="00761DF1"/>
    <w:rsid w:val="0076565F"/>
    <w:rsid w:val="00771854"/>
    <w:rsid w:val="00774B3A"/>
    <w:rsid w:val="007A094D"/>
    <w:rsid w:val="007A15B8"/>
    <w:rsid w:val="007B17A2"/>
    <w:rsid w:val="007B488A"/>
    <w:rsid w:val="007C146D"/>
    <w:rsid w:val="007C7E38"/>
    <w:rsid w:val="007F0E6F"/>
    <w:rsid w:val="007F2B90"/>
    <w:rsid w:val="00802EAA"/>
    <w:rsid w:val="00810AFE"/>
    <w:rsid w:val="008143B5"/>
    <w:rsid w:val="00820014"/>
    <w:rsid w:val="008303C3"/>
    <w:rsid w:val="00831F24"/>
    <w:rsid w:val="00832D59"/>
    <w:rsid w:val="00840DBF"/>
    <w:rsid w:val="008566E2"/>
    <w:rsid w:val="00857EAF"/>
    <w:rsid w:val="0087114F"/>
    <w:rsid w:val="008820C6"/>
    <w:rsid w:val="00884501"/>
    <w:rsid w:val="00892E6F"/>
    <w:rsid w:val="00896C02"/>
    <w:rsid w:val="008A2A61"/>
    <w:rsid w:val="008A4B19"/>
    <w:rsid w:val="008C4E5C"/>
    <w:rsid w:val="008C7888"/>
    <w:rsid w:val="008D1992"/>
    <w:rsid w:val="008D70FE"/>
    <w:rsid w:val="008E6F77"/>
    <w:rsid w:val="008F2048"/>
    <w:rsid w:val="00901043"/>
    <w:rsid w:val="00911F2B"/>
    <w:rsid w:val="00916F2C"/>
    <w:rsid w:val="00927331"/>
    <w:rsid w:val="00936688"/>
    <w:rsid w:val="00942043"/>
    <w:rsid w:val="00945608"/>
    <w:rsid w:val="00950571"/>
    <w:rsid w:val="00952772"/>
    <w:rsid w:val="009540FE"/>
    <w:rsid w:val="00967535"/>
    <w:rsid w:val="009709E0"/>
    <w:rsid w:val="00972564"/>
    <w:rsid w:val="00976C29"/>
    <w:rsid w:val="00982051"/>
    <w:rsid w:val="00984638"/>
    <w:rsid w:val="0098491E"/>
    <w:rsid w:val="009906C1"/>
    <w:rsid w:val="00995504"/>
    <w:rsid w:val="009B6FA4"/>
    <w:rsid w:val="009C2AD5"/>
    <w:rsid w:val="009E493D"/>
    <w:rsid w:val="009E5A72"/>
    <w:rsid w:val="009E7E29"/>
    <w:rsid w:val="00A01E71"/>
    <w:rsid w:val="00A051EB"/>
    <w:rsid w:val="00A2387C"/>
    <w:rsid w:val="00A32AC8"/>
    <w:rsid w:val="00A469B0"/>
    <w:rsid w:val="00A520BA"/>
    <w:rsid w:val="00A67BE1"/>
    <w:rsid w:val="00A67F63"/>
    <w:rsid w:val="00A9672A"/>
    <w:rsid w:val="00AB176E"/>
    <w:rsid w:val="00AB34C6"/>
    <w:rsid w:val="00AC1E51"/>
    <w:rsid w:val="00AC47A2"/>
    <w:rsid w:val="00AC536E"/>
    <w:rsid w:val="00AC675B"/>
    <w:rsid w:val="00AC78AF"/>
    <w:rsid w:val="00AD52ED"/>
    <w:rsid w:val="00AF03FB"/>
    <w:rsid w:val="00B02906"/>
    <w:rsid w:val="00B33D95"/>
    <w:rsid w:val="00B37287"/>
    <w:rsid w:val="00B45F2B"/>
    <w:rsid w:val="00B648EA"/>
    <w:rsid w:val="00B67513"/>
    <w:rsid w:val="00B92AEE"/>
    <w:rsid w:val="00B9564E"/>
    <w:rsid w:val="00BA73A9"/>
    <w:rsid w:val="00BB65D9"/>
    <w:rsid w:val="00BB74E9"/>
    <w:rsid w:val="00BB7F39"/>
    <w:rsid w:val="00BC22C7"/>
    <w:rsid w:val="00BE6F95"/>
    <w:rsid w:val="00BE6FC9"/>
    <w:rsid w:val="00BF412E"/>
    <w:rsid w:val="00C04950"/>
    <w:rsid w:val="00C04D81"/>
    <w:rsid w:val="00C13A82"/>
    <w:rsid w:val="00C265CC"/>
    <w:rsid w:val="00C37EC2"/>
    <w:rsid w:val="00C41B25"/>
    <w:rsid w:val="00C521DD"/>
    <w:rsid w:val="00C84682"/>
    <w:rsid w:val="00C930FA"/>
    <w:rsid w:val="00CA3642"/>
    <w:rsid w:val="00CA3A30"/>
    <w:rsid w:val="00CA3DA2"/>
    <w:rsid w:val="00CA5394"/>
    <w:rsid w:val="00CA7E34"/>
    <w:rsid w:val="00CB4BAB"/>
    <w:rsid w:val="00CE056C"/>
    <w:rsid w:val="00CE7220"/>
    <w:rsid w:val="00CF5795"/>
    <w:rsid w:val="00CF7B41"/>
    <w:rsid w:val="00D04B90"/>
    <w:rsid w:val="00D11177"/>
    <w:rsid w:val="00D15EA4"/>
    <w:rsid w:val="00D20477"/>
    <w:rsid w:val="00D3010C"/>
    <w:rsid w:val="00D40C7E"/>
    <w:rsid w:val="00D430F8"/>
    <w:rsid w:val="00D51519"/>
    <w:rsid w:val="00D70223"/>
    <w:rsid w:val="00D86698"/>
    <w:rsid w:val="00D928F2"/>
    <w:rsid w:val="00DA1496"/>
    <w:rsid w:val="00DA5289"/>
    <w:rsid w:val="00DA7817"/>
    <w:rsid w:val="00DB3742"/>
    <w:rsid w:val="00DB39E2"/>
    <w:rsid w:val="00DC253A"/>
    <w:rsid w:val="00DD06EB"/>
    <w:rsid w:val="00DF4651"/>
    <w:rsid w:val="00E11BFA"/>
    <w:rsid w:val="00E172E6"/>
    <w:rsid w:val="00E24B2F"/>
    <w:rsid w:val="00E2772F"/>
    <w:rsid w:val="00E3487E"/>
    <w:rsid w:val="00E356DE"/>
    <w:rsid w:val="00E358BF"/>
    <w:rsid w:val="00E365F4"/>
    <w:rsid w:val="00E40D43"/>
    <w:rsid w:val="00E41ED7"/>
    <w:rsid w:val="00E42532"/>
    <w:rsid w:val="00E6224C"/>
    <w:rsid w:val="00E710B2"/>
    <w:rsid w:val="00E771B2"/>
    <w:rsid w:val="00EB0DA5"/>
    <w:rsid w:val="00EB7E1F"/>
    <w:rsid w:val="00ED06F4"/>
    <w:rsid w:val="00EE3612"/>
    <w:rsid w:val="00EE699B"/>
    <w:rsid w:val="00F25F0D"/>
    <w:rsid w:val="00F4797C"/>
    <w:rsid w:val="00F47E60"/>
    <w:rsid w:val="00F52DA7"/>
    <w:rsid w:val="00F61EF1"/>
    <w:rsid w:val="00F65388"/>
    <w:rsid w:val="00F820D2"/>
    <w:rsid w:val="00F85561"/>
    <w:rsid w:val="00FA339E"/>
    <w:rsid w:val="00FA544C"/>
    <w:rsid w:val="00FB0A67"/>
    <w:rsid w:val="00FB448F"/>
    <w:rsid w:val="00FC72DC"/>
    <w:rsid w:val="00FD2160"/>
    <w:rsid w:val="00FE0619"/>
    <w:rsid w:val="00FE75C4"/>
    <w:rsid w:val="00FF785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DF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sz w:val="22"/>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E056C"/>
    <w:pPr>
      <w:spacing w:after="200" w:line="252" w:lineRule="auto"/>
    </w:pPr>
    <w:rPr>
      <w:lang w:eastAsia="en-US"/>
    </w:rPr>
  </w:style>
  <w:style w:type="paragraph" w:styleId="Cmsor1">
    <w:name w:val="heading 1"/>
    <w:basedOn w:val="Norml"/>
    <w:next w:val="Norml"/>
    <w:link w:val="Cmsor1Char"/>
    <w:uiPriority w:val="99"/>
    <w:qFormat/>
    <w:rsid w:val="00CE056C"/>
    <w:pPr>
      <w:pBdr>
        <w:bottom w:val="thinThickSmallGap" w:sz="12" w:space="1" w:color="4DBFF1"/>
      </w:pBdr>
      <w:spacing w:before="400"/>
      <w:jc w:val="center"/>
      <w:outlineLvl w:val="0"/>
    </w:pPr>
    <w:rPr>
      <w:caps/>
      <w:color w:val="0F8EC6"/>
      <w:spacing w:val="20"/>
      <w:sz w:val="28"/>
      <w:szCs w:val="28"/>
    </w:rPr>
  </w:style>
  <w:style w:type="paragraph" w:styleId="Cmsor2">
    <w:name w:val="heading 2"/>
    <w:basedOn w:val="Norml"/>
    <w:next w:val="Norml"/>
    <w:link w:val="Cmsor2Char"/>
    <w:uiPriority w:val="99"/>
    <w:qFormat/>
    <w:rsid w:val="00CE056C"/>
    <w:pPr>
      <w:pBdr>
        <w:bottom w:val="single" w:sz="4" w:space="1" w:color="0F8DC4"/>
      </w:pBdr>
      <w:spacing w:before="400"/>
      <w:jc w:val="center"/>
      <w:outlineLvl w:val="1"/>
    </w:pPr>
    <w:rPr>
      <w:caps/>
      <w:color w:val="0F8EC6"/>
      <w:spacing w:val="15"/>
      <w:sz w:val="24"/>
      <w:szCs w:val="24"/>
    </w:rPr>
  </w:style>
  <w:style w:type="paragraph" w:styleId="Cmsor3">
    <w:name w:val="heading 3"/>
    <w:basedOn w:val="Norml"/>
    <w:next w:val="Norml"/>
    <w:link w:val="Cmsor3Char"/>
    <w:uiPriority w:val="99"/>
    <w:qFormat/>
    <w:rsid w:val="00CE056C"/>
    <w:pPr>
      <w:pBdr>
        <w:top w:val="dotted" w:sz="4" w:space="1" w:color="0F8DC4"/>
        <w:bottom w:val="dotted" w:sz="4" w:space="1" w:color="0F8DC4"/>
      </w:pBdr>
      <w:spacing w:before="300"/>
      <w:jc w:val="center"/>
      <w:outlineLvl w:val="2"/>
    </w:pPr>
    <w:rPr>
      <w:caps/>
      <w:color w:val="0F8DC4"/>
      <w:sz w:val="24"/>
      <w:szCs w:val="24"/>
    </w:rPr>
  </w:style>
  <w:style w:type="paragraph" w:styleId="Cmsor4">
    <w:name w:val="heading 4"/>
    <w:basedOn w:val="Norml"/>
    <w:next w:val="Norml"/>
    <w:link w:val="Cmsor4Char"/>
    <w:uiPriority w:val="99"/>
    <w:qFormat/>
    <w:rsid w:val="00CE056C"/>
    <w:pPr>
      <w:pBdr>
        <w:bottom w:val="dotted" w:sz="4" w:space="1" w:color="4DBFF1"/>
      </w:pBdr>
      <w:spacing w:after="120"/>
      <w:jc w:val="center"/>
      <w:outlineLvl w:val="3"/>
    </w:pPr>
    <w:rPr>
      <w:caps/>
      <w:color w:val="0F8DC4"/>
      <w:spacing w:val="10"/>
    </w:rPr>
  </w:style>
  <w:style w:type="paragraph" w:styleId="Cmsor5">
    <w:name w:val="heading 5"/>
    <w:basedOn w:val="Norml"/>
    <w:next w:val="Norml"/>
    <w:link w:val="Cmsor5Char"/>
    <w:uiPriority w:val="99"/>
    <w:qFormat/>
    <w:rsid w:val="00CE056C"/>
    <w:pPr>
      <w:spacing w:before="320" w:after="120"/>
      <w:jc w:val="center"/>
      <w:outlineLvl w:val="4"/>
    </w:pPr>
    <w:rPr>
      <w:caps/>
      <w:color w:val="0F8DC4"/>
      <w:spacing w:val="10"/>
    </w:rPr>
  </w:style>
  <w:style w:type="paragraph" w:styleId="Cmsor6">
    <w:name w:val="heading 6"/>
    <w:basedOn w:val="Norml"/>
    <w:next w:val="Norml"/>
    <w:link w:val="Cmsor6Char"/>
    <w:uiPriority w:val="99"/>
    <w:qFormat/>
    <w:rsid w:val="00CE056C"/>
    <w:pPr>
      <w:spacing w:after="120"/>
      <w:jc w:val="center"/>
      <w:outlineLvl w:val="5"/>
    </w:pPr>
    <w:rPr>
      <w:caps/>
      <w:color w:val="4DBFF1"/>
      <w:spacing w:val="10"/>
    </w:rPr>
  </w:style>
  <w:style w:type="paragraph" w:styleId="Cmsor7">
    <w:name w:val="heading 7"/>
    <w:basedOn w:val="Norml"/>
    <w:next w:val="Norml"/>
    <w:link w:val="Cmsor7Char"/>
    <w:uiPriority w:val="99"/>
    <w:qFormat/>
    <w:rsid w:val="00CE056C"/>
    <w:pPr>
      <w:spacing w:after="120"/>
      <w:jc w:val="center"/>
      <w:outlineLvl w:val="6"/>
    </w:pPr>
    <w:rPr>
      <w:i/>
      <w:iCs/>
      <w:caps/>
      <w:color w:val="4DBFF1"/>
      <w:spacing w:val="10"/>
    </w:rPr>
  </w:style>
  <w:style w:type="paragraph" w:styleId="Cmsor8">
    <w:name w:val="heading 8"/>
    <w:basedOn w:val="Norml"/>
    <w:next w:val="Norml"/>
    <w:link w:val="Cmsor8Char"/>
    <w:uiPriority w:val="99"/>
    <w:qFormat/>
    <w:rsid w:val="00CE056C"/>
    <w:pPr>
      <w:spacing w:after="120"/>
      <w:jc w:val="center"/>
      <w:outlineLvl w:val="7"/>
    </w:pPr>
    <w:rPr>
      <w:caps/>
      <w:spacing w:val="10"/>
      <w:sz w:val="20"/>
      <w:szCs w:val="20"/>
    </w:rPr>
  </w:style>
  <w:style w:type="paragraph" w:styleId="Cmsor9">
    <w:name w:val="heading 9"/>
    <w:basedOn w:val="Norml"/>
    <w:next w:val="Norml"/>
    <w:link w:val="Cmsor9Char"/>
    <w:uiPriority w:val="99"/>
    <w:qFormat/>
    <w:rsid w:val="00CE056C"/>
    <w:pPr>
      <w:spacing w:after="120"/>
      <w:jc w:val="center"/>
      <w:outlineLvl w:val="8"/>
    </w:pPr>
    <w:rPr>
      <w:i/>
      <w:iCs/>
      <w:caps/>
      <w:spacing w:val="1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CE056C"/>
    <w:rPr>
      <w:rFonts w:cs="Times New Roman"/>
      <w:caps/>
      <w:color w:val="0F8EC6"/>
      <w:spacing w:val="20"/>
      <w:sz w:val="28"/>
      <w:szCs w:val="28"/>
    </w:rPr>
  </w:style>
  <w:style w:type="character" w:customStyle="1" w:styleId="Cmsor2Char">
    <w:name w:val="Címsor 2 Char"/>
    <w:basedOn w:val="Bekezdsalapbettpusa"/>
    <w:link w:val="Cmsor2"/>
    <w:uiPriority w:val="99"/>
    <w:semiHidden/>
    <w:locked/>
    <w:rsid w:val="00CE056C"/>
    <w:rPr>
      <w:rFonts w:cs="Times New Roman"/>
      <w:caps/>
      <w:color w:val="0F8EC6"/>
      <w:spacing w:val="15"/>
      <w:sz w:val="24"/>
      <w:szCs w:val="24"/>
    </w:rPr>
  </w:style>
  <w:style w:type="character" w:customStyle="1" w:styleId="Cmsor3Char">
    <w:name w:val="Címsor 3 Char"/>
    <w:basedOn w:val="Bekezdsalapbettpusa"/>
    <w:link w:val="Cmsor3"/>
    <w:uiPriority w:val="99"/>
    <w:semiHidden/>
    <w:locked/>
    <w:rsid w:val="00CE056C"/>
    <w:rPr>
      <w:rFonts w:cs="Times New Roman"/>
      <w:caps/>
      <w:color w:val="0F8DC4"/>
      <w:sz w:val="24"/>
      <w:szCs w:val="24"/>
    </w:rPr>
  </w:style>
  <w:style w:type="character" w:customStyle="1" w:styleId="Cmsor4Char">
    <w:name w:val="Címsor 4 Char"/>
    <w:basedOn w:val="Bekezdsalapbettpusa"/>
    <w:link w:val="Cmsor4"/>
    <w:uiPriority w:val="99"/>
    <w:semiHidden/>
    <w:locked/>
    <w:rsid w:val="00CE056C"/>
    <w:rPr>
      <w:rFonts w:cs="Times New Roman"/>
      <w:caps/>
      <w:color w:val="0F8DC4"/>
      <w:spacing w:val="10"/>
    </w:rPr>
  </w:style>
  <w:style w:type="character" w:customStyle="1" w:styleId="Cmsor5Char">
    <w:name w:val="Címsor 5 Char"/>
    <w:basedOn w:val="Bekezdsalapbettpusa"/>
    <w:link w:val="Cmsor5"/>
    <w:uiPriority w:val="99"/>
    <w:semiHidden/>
    <w:locked/>
    <w:rsid w:val="00CE056C"/>
    <w:rPr>
      <w:rFonts w:cs="Times New Roman"/>
      <w:caps/>
      <w:color w:val="0F8DC4"/>
      <w:spacing w:val="10"/>
    </w:rPr>
  </w:style>
  <w:style w:type="character" w:customStyle="1" w:styleId="Cmsor6Char">
    <w:name w:val="Címsor 6 Char"/>
    <w:basedOn w:val="Bekezdsalapbettpusa"/>
    <w:link w:val="Cmsor6"/>
    <w:uiPriority w:val="99"/>
    <w:semiHidden/>
    <w:locked/>
    <w:rsid w:val="00CE056C"/>
    <w:rPr>
      <w:rFonts w:cs="Times New Roman"/>
      <w:caps/>
      <w:color w:val="4DBFF1"/>
      <w:spacing w:val="10"/>
    </w:rPr>
  </w:style>
  <w:style w:type="character" w:customStyle="1" w:styleId="Cmsor7Char">
    <w:name w:val="Címsor 7 Char"/>
    <w:basedOn w:val="Bekezdsalapbettpusa"/>
    <w:link w:val="Cmsor7"/>
    <w:uiPriority w:val="99"/>
    <w:semiHidden/>
    <w:locked/>
    <w:rsid w:val="00CE056C"/>
    <w:rPr>
      <w:rFonts w:cs="Times New Roman"/>
      <w:i/>
      <w:iCs/>
      <w:caps/>
      <w:color w:val="4DBFF1"/>
      <w:spacing w:val="10"/>
    </w:rPr>
  </w:style>
  <w:style w:type="character" w:customStyle="1" w:styleId="Cmsor8Char">
    <w:name w:val="Címsor 8 Char"/>
    <w:basedOn w:val="Bekezdsalapbettpusa"/>
    <w:link w:val="Cmsor8"/>
    <w:uiPriority w:val="99"/>
    <w:semiHidden/>
    <w:locked/>
    <w:rsid w:val="00CE056C"/>
    <w:rPr>
      <w:rFonts w:cs="Times New Roman"/>
      <w:caps/>
      <w:spacing w:val="10"/>
      <w:sz w:val="20"/>
      <w:szCs w:val="20"/>
    </w:rPr>
  </w:style>
  <w:style w:type="character" w:customStyle="1" w:styleId="Cmsor9Char">
    <w:name w:val="Címsor 9 Char"/>
    <w:basedOn w:val="Bekezdsalapbettpusa"/>
    <w:link w:val="Cmsor9"/>
    <w:uiPriority w:val="99"/>
    <w:semiHidden/>
    <w:locked/>
    <w:rsid w:val="00CE056C"/>
    <w:rPr>
      <w:rFonts w:cs="Times New Roman"/>
      <w:i/>
      <w:iCs/>
      <w:caps/>
      <w:spacing w:val="10"/>
      <w:sz w:val="20"/>
      <w:szCs w:val="20"/>
    </w:rPr>
  </w:style>
  <w:style w:type="paragraph" w:styleId="Buborkszveg">
    <w:name w:val="Balloon Text"/>
    <w:basedOn w:val="Norml"/>
    <w:link w:val="BuborkszvegChar"/>
    <w:uiPriority w:val="99"/>
    <w:semiHidden/>
    <w:rsid w:val="0037338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37338E"/>
    <w:rPr>
      <w:rFonts w:ascii="Tahoma" w:hAnsi="Tahoma" w:cs="Tahoma"/>
      <w:sz w:val="16"/>
      <w:szCs w:val="16"/>
    </w:rPr>
  </w:style>
  <w:style w:type="paragraph" w:styleId="Listaszerbekezds">
    <w:name w:val="List Paragraph"/>
    <w:basedOn w:val="Norml"/>
    <w:uiPriority w:val="99"/>
    <w:qFormat/>
    <w:rsid w:val="00CE056C"/>
    <w:pPr>
      <w:ind w:left="720"/>
      <w:contextualSpacing/>
    </w:pPr>
  </w:style>
  <w:style w:type="character" w:styleId="Hiperhivatkozs">
    <w:name w:val="Hyperlink"/>
    <w:basedOn w:val="Bekezdsalapbettpusa"/>
    <w:uiPriority w:val="99"/>
    <w:rsid w:val="008566E2"/>
    <w:rPr>
      <w:rFonts w:cs="Times New Roman"/>
      <w:color w:val="0E57C4"/>
      <w:u w:val="single"/>
    </w:rPr>
  </w:style>
  <w:style w:type="table" w:styleId="Rcsostblzat">
    <w:name w:val="Table Grid"/>
    <w:basedOn w:val="Normltblzat"/>
    <w:uiPriority w:val="99"/>
    <w:rsid w:val="00CA53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orml"/>
    <w:next w:val="Norml"/>
    <w:uiPriority w:val="99"/>
    <w:qFormat/>
    <w:rsid w:val="00CE056C"/>
    <w:rPr>
      <w:caps/>
      <w:spacing w:val="10"/>
      <w:sz w:val="18"/>
      <w:szCs w:val="18"/>
    </w:rPr>
  </w:style>
  <w:style w:type="paragraph" w:styleId="Cm">
    <w:name w:val="Title"/>
    <w:basedOn w:val="Norml"/>
    <w:next w:val="Norml"/>
    <w:link w:val="CmChar"/>
    <w:uiPriority w:val="99"/>
    <w:qFormat/>
    <w:rsid w:val="00CE056C"/>
    <w:pPr>
      <w:pBdr>
        <w:top w:val="dotted" w:sz="2" w:space="1" w:color="0F8EC6"/>
        <w:bottom w:val="dotted" w:sz="2" w:space="6" w:color="0F8EC6"/>
      </w:pBdr>
      <w:spacing w:before="500" w:after="300" w:line="240" w:lineRule="auto"/>
      <w:jc w:val="center"/>
    </w:pPr>
    <w:rPr>
      <w:caps/>
      <w:color w:val="0F8EC6"/>
      <w:spacing w:val="50"/>
      <w:sz w:val="44"/>
      <w:szCs w:val="44"/>
    </w:rPr>
  </w:style>
  <w:style w:type="character" w:customStyle="1" w:styleId="CmChar">
    <w:name w:val="Cím Char"/>
    <w:basedOn w:val="Bekezdsalapbettpusa"/>
    <w:link w:val="Cm"/>
    <w:uiPriority w:val="99"/>
    <w:locked/>
    <w:rsid w:val="00CE056C"/>
    <w:rPr>
      <w:rFonts w:cs="Times New Roman"/>
      <w:caps/>
      <w:color w:val="0F8EC6"/>
      <w:spacing w:val="50"/>
      <w:sz w:val="44"/>
      <w:szCs w:val="44"/>
    </w:rPr>
  </w:style>
  <w:style w:type="paragraph" w:styleId="Alcm">
    <w:name w:val="Subtitle"/>
    <w:basedOn w:val="Norml"/>
    <w:next w:val="Norml"/>
    <w:link w:val="AlcmChar"/>
    <w:uiPriority w:val="99"/>
    <w:qFormat/>
    <w:rsid w:val="00CE056C"/>
    <w:pPr>
      <w:spacing w:after="560" w:line="240" w:lineRule="auto"/>
      <w:jc w:val="center"/>
    </w:pPr>
    <w:rPr>
      <w:caps/>
      <w:spacing w:val="20"/>
      <w:sz w:val="18"/>
      <w:szCs w:val="18"/>
    </w:rPr>
  </w:style>
  <w:style w:type="character" w:customStyle="1" w:styleId="AlcmChar">
    <w:name w:val="Alcím Char"/>
    <w:basedOn w:val="Bekezdsalapbettpusa"/>
    <w:link w:val="Alcm"/>
    <w:uiPriority w:val="99"/>
    <w:locked/>
    <w:rsid w:val="00CE056C"/>
    <w:rPr>
      <w:rFonts w:cs="Times New Roman"/>
      <w:caps/>
      <w:spacing w:val="20"/>
      <w:sz w:val="18"/>
      <w:szCs w:val="18"/>
    </w:rPr>
  </w:style>
  <w:style w:type="character" w:styleId="Kiemels2">
    <w:name w:val="Strong"/>
    <w:basedOn w:val="Bekezdsalapbettpusa"/>
    <w:uiPriority w:val="99"/>
    <w:qFormat/>
    <w:rsid w:val="00CE056C"/>
    <w:rPr>
      <w:rFonts w:cs="Times New Roman"/>
      <w:b/>
      <w:color w:val="4DBFF1"/>
      <w:spacing w:val="5"/>
    </w:rPr>
  </w:style>
  <w:style w:type="character" w:styleId="Kiemels">
    <w:name w:val="Emphasis"/>
    <w:basedOn w:val="Bekezdsalapbettpusa"/>
    <w:uiPriority w:val="99"/>
    <w:qFormat/>
    <w:rsid w:val="00CE056C"/>
    <w:rPr>
      <w:rFonts w:cs="Times New Roman"/>
      <w:caps/>
      <w:spacing w:val="5"/>
      <w:sz w:val="20"/>
    </w:rPr>
  </w:style>
  <w:style w:type="paragraph" w:styleId="Nincstrkz">
    <w:name w:val="No Spacing"/>
    <w:basedOn w:val="Norml"/>
    <w:link w:val="NincstrkzChar"/>
    <w:uiPriority w:val="99"/>
    <w:qFormat/>
    <w:rsid w:val="00CE056C"/>
    <w:pPr>
      <w:spacing w:after="0" w:line="240" w:lineRule="auto"/>
    </w:pPr>
  </w:style>
  <w:style w:type="character" w:customStyle="1" w:styleId="NincstrkzChar">
    <w:name w:val="Nincs térköz Char"/>
    <w:basedOn w:val="Bekezdsalapbettpusa"/>
    <w:link w:val="Nincstrkz"/>
    <w:uiPriority w:val="99"/>
    <w:locked/>
    <w:rsid w:val="00CE056C"/>
    <w:rPr>
      <w:rFonts w:cs="Times New Roman"/>
    </w:rPr>
  </w:style>
  <w:style w:type="paragraph" w:styleId="Idzet">
    <w:name w:val="Quote"/>
    <w:basedOn w:val="Norml"/>
    <w:next w:val="Norml"/>
    <w:link w:val="IdzetChar"/>
    <w:uiPriority w:val="99"/>
    <w:qFormat/>
    <w:rsid w:val="00CE056C"/>
    <w:rPr>
      <w:i/>
      <w:iCs/>
    </w:rPr>
  </w:style>
  <w:style w:type="character" w:customStyle="1" w:styleId="IdzetChar">
    <w:name w:val="Idézet Char"/>
    <w:basedOn w:val="Bekezdsalapbettpusa"/>
    <w:link w:val="Idzet"/>
    <w:uiPriority w:val="99"/>
    <w:locked/>
    <w:rsid w:val="00CE056C"/>
    <w:rPr>
      <w:rFonts w:cs="Times New Roman"/>
      <w:i/>
      <w:iCs/>
    </w:rPr>
  </w:style>
  <w:style w:type="paragraph" w:styleId="Kiemeltidzet">
    <w:name w:val="Intense Quote"/>
    <w:basedOn w:val="Norml"/>
    <w:next w:val="Norml"/>
    <w:link w:val="KiemeltidzetChar"/>
    <w:uiPriority w:val="99"/>
    <w:qFormat/>
    <w:rsid w:val="00CE056C"/>
    <w:pPr>
      <w:pBdr>
        <w:top w:val="dotted" w:sz="2" w:space="10" w:color="0F8EC6"/>
        <w:bottom w:val="dotted" w:sz="2" w:space="4" w:color="0F8EC6"/>
      </w:pBdr>
      <w:spacing w:before="160" w:line="300" w:lineRule="auto"/>
      <w:ind w:left="1440" w:right="1440"/>
    </w:pPr>
    <w:rPr>
      <w:caps/>
      <w:color w:val="0F8DC4"/>
      <w:spacing w:val="5"/>
      <w:sz w:val="20"/>
      <w:szCs w:val="20"/>
    </w:rPr>
  </w:style>
  <w:style w:type="character" w:customStyle="1" w:styleId="KiemeltidzetChar">
    <w:name w:val="Kiemelt idézet Char"/>
    <w:basedOn w:val="Bekezdsalapbettpusa"/>
    <w:link w:val="Kiemeltidzet"/>
    <w:uiPriority w:val="99"/>
    <w:locked/>
    <w:rsid w:val="00CE056C"/>
    <w:rPr>
      <w:rFonts w:cs="Times New Roman"/>
      <w:caps/>
      <w:color w:val="0F8DC4"/>
      <w:spacing w:val="5"/>
      <w:sz w:val="20"/>
      <w:szCs w:val="20"/>
    </w:rPr>
  </w:style>
  <w:style w:type="character" w:styleId="Finomkiemels">
    <w:name w:val="Subtle Emphasis"/>
    <w:basedOn w:val="Bekezdsalapbettpusa"/>
    <w:uiPriority w:val="99"/>
    <w:qFormat/>
    <w:rsid w:val="00CE056C"/>
    <w:rPr>
      <w:rFonts w:cs="Times New Roman"/>
      <w:i/>
    </w:rPr>
  </w:style>
  <w:style w:type="character" w:styleId="Erskiemels">
    <w:name w:val="Intense Emphasis"/>
    <w:basedOn w:val="Bekezdsalapbettpusa"/>
    <w:uiPriority w:val="99"/>
    <w:qFormat/>
    <w:rsid w:val="00CE056C"/>
    <w:rPr>
      <w:rFonts w:cs="Times New Roman"/>
      <w:i/>
      <w:caps/>
      <w:spacing w:val="10"/>
      <w:sz w:val="20"/>
    </w:rPr>
  </w:style>
  <w:style w:type="character" w:styleId="Finomhivatkozs">
    <w:name w:val="Subtle Reference"/>
    <w:basedOn w:val="Bekezdsalapbettpusa"/>
    <w:uiPriority w:val="99"/>
    <w:qFormat/>
    <w:rsid w:val="00CE056C"/>
    <w:rPr>
      <w:rFonts w:ascii="Calibri" w:hAnsi="Calibri" w:cs="Times New Roman"/>
      <w:i/>
      <w:iCs/>
      <w:color w:val="0F8DC4"/>
    </w:rPr>
  </w:style>
  <w:style w:type="character" w:styleId="Ershivatkozs">
    <w:name w:val="Intense Reference"/>
    <w:basedOn w:val="Bekezdsalapbettpusa"/>
    <w:uiPriority w:val="99"/>
    <w:qFormat/>
    <w:rsid w:val="00CE056C"/>
    <w:rPr>
      <w:rFonts w:ascii="Calibri" w:hAnsi="Calibri" w:cs="Times New Roman"/>
      <w:b/>
      <w:i/>
      <w:color w:val="0F8DC4"/>
    </w:rPr>
  </w:style>
  <w:style w:type="character" w:styleId="Knyvcme">
    <w:name w:val="Book Title"/>
    <w:basedOn w:val="Bekezdsalapbettpusa"/>
    <w:uiPriority w:val="99"/>
    <w:qFormat/>
    <w:rsid w:val="00CE056C"/>
    <w:rPr>
      <w:rFonts w:cs="Times New Roman"/>
      <w:caps/>
      <w:color w:val="0F8DC4"/>
      <w:spacing w:val="5"/>
      <w:u w:color="0F8DC4"/>
    </w:rPr>
  </w:style>
  <w:style w:type="paragraph" w:styleId="Tartalomjegyzkcmsora">
    <w:name w:val="TOC Heading"/>
    <w:basedOn w:val="Cmsor1"/>
    <w:next w:val="Norml"/>
    <w:uiPriority w:val="99"/>
    <w:qFormat/>
    <w:rsid w:val="00CE056C"/>
    <w:pPr>
      <w:outlineLvl w:val="9"/>
    </w:pPr>
  </w:style>
  <w:style w:type="paragraph" w:customStyle="1" w:styleId="Default">
    <w:name w:val="Default"/>
    <w:rsid w:val="009B6FA4"/>
    <w:pPr>
      <w:autoSpaceDE w:val="0"/>
      <w:autoSpaceDN w:val="0"/>
      <w:adjustRightInd w:val="0"/>
    </w:pPr>
    <w:rPr>
      <w:rFonts w:ascii="Arial" w:hAnsi="Arial" w:cs="Arial"/>
      <w:color w:val="000000"/>
      <w:sz w:val="24"/>
      <w:szCs w:val="24"/>
      <w:lang w:eastAsia="en-US"/>
    </w:rPr>
  </w:style>
  <w:style w:type="paragraph" w:styleId="lfej">
    <w:name w:val="header"/>
    <w:basedOn w:val="Norml"/>
    <w:link w:val="lfejChar"/>
    <w:uiPriority w:val="99"/>
    <w:unhideWhenUsed/>
    <w:locked/>
    <w:rsid w:val="0070199B"/>
    <w:pPr>
      <w:tabs>
        <w:tab w:val="center" w:pos="4536"/>
        <w:tab w:val="right" w:pos="9072"/>
      </w:tabs>
      <w:spacing w:after="0" w:line="240" w:lineRule="auto"/>
    </w:pPr>
  </w:style>
  <w:style w:type="character" w:customStyle="1" w:styleId="lfejChar">
    <w:name w:val="Élőfej Char"/>
    <w:basedOn w:val="Bekezdsalapbettpusa"/>
    <w:link w:val="lfej"/>
    <w:uiPriority w:val="99"/>
    <w:rsid w:val="0070199B"/>
    <w:rPr>
      <w:lang w:eastAsia="en-US"/>
    </w:rPr>
  </w:style>
  <w:style w:type="paragraph" w:styleId="llb">
    <w:name w:val="footer"/>
    <w:basedOn w:val="Norml"/>
    <w:link w:val="llbChar"/>
    <w:uiPriority w:val="99"/>
    <w:unhideWhenUsed/>
    <w:locked/>
    <w:rsid w:val="0070199B"/>
    <w:pPr>
      <w:tabs>
        <w:tab w:val="center" w:pos="4536"/>
        <w:tab w:val="right" w:pos="9072"/>
      </w:tabs>
      <w:spacing w:after="0" w:line="240" w:lineRule="auto"/>
    </w:pPr>
  </w:style>
  <w:style w:type="character" w:customStyle="1" w:styleId="llbChar">
    <w:name w:val="Élőláb Char"/>
    <w:basedOn w:val="Bekezdsalapbettpusa"/>
    <w:link w:val="llb"/>
    <w:uiPriority w:val="99"/>
    <w:rsid w:val="0070199B"/>
    <w:rPr>
      <w:lang w:eastAsia="en-US"/>
    </w:rPr>
  </w:style>
  <w:style w:type="character" w:styleId="Helyrzszveg">
    <w:name w:val="Placeholder Text"/>
    <w:basedOn w:val="Bekezdsalapbettpusa"/>
    <w:uiPriority w:val="99"/>
    <w:semiHidden/>
    <w:rsid w:val="00B45F2B"/>
    <w:rPr>
      <w:color w:val="808080"/>
    </w:rPr>
  </w:style>
  <w:style w:type="paragraph" w:customStyle="1" w:styleId="szovegutolso">
    <w:name w:val="szoveg_utolso"/>
    <w:basedOn w:val="Norml"/>
    <w:uiPriority w:val="99"/>
    <w:rsid w:val="005D3BFA"/>
    <w:pPr>
      <w:spacing w:before="100" w:beforeAutospacing="1" w:after="100" w:afterAutospacing="1" w:line="240" w:lineRule="auto"/>
    </w:pPr>
    <w:rPr>
      <w:rFonts w:ascii="Times New Roman" w:hAnsi="Times New Roman"/>
      <w:sz w:val="24"/>
      <w:szCs w:val="24"/>
      <w:lang w:eastAsia="hu-HU"/>
    </w:rPr>
  </w:style>
  <w:style w:type="paragraph" w:customStyle="1" w:styleId="CM1">
    <w:name w:val="CM1"/>
    <w:basedOn w:val="Default"/>
    <w:next w:val="Default"/>
    <w:uiPriority w:val="99"/>
    <w:rsid w:val="00950571"/>
    <w:rPr>
      <w:rFonts w:ascii="EUAlbertina" w:hAnsi="EUAlbertina" w:cs="Times New Roman"/>
      <w:color w:val="auto"/>
      <w:lang w:eastAsia="hu-HU"/>
    </w:rPr>
  </w:style>
  <w:style w:type="paragraph" w:customStyle="1" w:styleId="CM3">
    <w:name w:val="CM3"/>
    <w:basedOn w:val="Default"/>
    <w:next w:val="Default"/>
    <w:uiPriority w:val="99"/>
    <w:rsid w:val="00950571"/>
    <w:rPr>
      <w:rFonts w:ascii="EUAlbertina" w:hAnsi="EUAlbertina" w:cs="Times New Roman"/>
      <w:color w:val="auto"/>
      <w:lang w:eastAsia="hu-HU"/>
    </w:rPr>
  </w:style>
  <w:style w:type="character" w:customStyle="1" w:styleId="Feloldatlanmegemlts1">
    <w:name w:val="Feloldatlan megemlítés1"/>
    <w:basedOn w:val="Bekezdsalapbettpusa"/>
    <w:uiPriority w:val="99"/>
    <w:semiHidden/>
    <w:unhideWhenUsed/>
    <w:rsid w:val="00522BA2"/>
    <w:rPr>
      <w:color w:val="605E5C"/>
      <w:shd w:val="clear" w:color="auto" w:fill="E1DFDD"/>
    </w:rPr>
  </w:style>
  <w:style w:type="paragraph" w:customStyle="1" w:styleId="Bekezds">
    <w:name w:val="Bekezdés"/>
    <w:uiPriority w:val="99"/>
    <w:rsid w:val="00D86698"/>
    <w:pPr>
      <w:widowControl w:val="0"/>
      <w:autoSpaceDE w:val="0"/>
      <w:autoSpaceDN w:val="0"/>
      <w:adjustRightInd w:val="0"/>
      <w:ind w:firstLine="202"/>
    </w:pPr>
    <w:rPr>
      <w:rFonts w:ascii="Times New Roman" w:eastAsiaTheme="minorEastAsia" w:hAnsi="Times New Roman"/>
      <w:sz w:val="24"/>
      <w:szCs w:val="24"/>
    </w:rPr>
  </w:style>
  <w:style w:type="character" w:styleId="Jegyzethivatkozs">
    <w:name w:val="annotation reference"/>
    <w:basedOn w:val="Bekezdsalapbettpusa"/>
    <w:uiPriority w:val="99"/>
    <w:semiHidden/>
    <w:unhideWhenUsed/>
    <w:locked/>
    <w:rsid w:val="007C146D"/>
    <w:rPr>
      <w:sz w:val="16"/>
      <w:szCs w:val="16"/>
    </w:rPr>
  </w:style>
  <w:style w:type="paragraph" w:styleId="Jegyzetszveg">
    <w:name w:val="annotation text"/>
    <w:basedOn w:val="Norml"/>
    <w:link w:val="JegyzetszvegChar"/>
    <w:uiPriority w:val="99"/>
    <w:unhideWhenUsed/>
    <w:locked/>
    <w:rsid w:val="007C146D"/>
    <w:pPr>
      <w:spacing w:line="240" w:lineRule="auto"/>
    </w:pPr>
    <w:rPr>
      <w:sz w:val="20"/>
      <w:szCs w:val="20"/>
    </w:rPr>
  </w:style>
  <w:style w:type="character" w:customStyle="1" w:styleId="JegyzetszvegChar">
    <w:name w:val="Jegyzetszöveg Char"/>
    <w:basedOn w:val="Bekezdsalapbettpusa"/>
    <w:link w:val="Jegyzetszveg"/>
    <w:uiPriority w:val="99"/>
    <w:rsid w:val="007C146D"/>
    <w:rPr>
      <w:sz w:val="20"/>
      <w:szCs w:val="20"/>
      <w:lang w:eastAsia="en-US"/>
    </w:rPr>
  </w:style>
  <w:style w:type="paragraph" w:styleId="Megjegyzstrgya">
    <w:name w:val="annotation subject"/>
    <w:basedOn w:val="Jegyzetszveg"/>
    <w:next w:val="Jegyzetszveg"/>
    <w:link w:val="MegjegyzstrgyaChar"/>
    <w:uiPriority w:val="99"/>
    <w:semiHidden/>
    <w:unhideWhenUsed/>
    <w:locked/>
    <w:rsid w:val="007C146D"/>
    <w:rPr>
      <w:b/>
      <w:bCs/>
    </w:rPr>
  </w:style>
  <w:style w:type="character" w:customStyle="1" w:styleId="MegjegyzstrgyaChar">
    <w:name w:val="Megjegyzés tárgya Char"/>
    <w:basedOn w:val="JegyzetszvegChar"/>
    <w:link w:val="Megjegyzstrgya"/>
    <w:uiPriority w:val="99"/>
    <w:semiHidden/>
    <w:rsid w:val="007C146D"/>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187">
      <w:bodyDiv w:val="1"/>
      <w:marLeft w:val="0"/>
      <w:marRight w:val="0"/>
      <w:marTop w:val="0"/>
      <w:marBottom w:val="0"/>
      <w:divBdr>
        <w:top w:val="none" w:sz="0" w:space="0" w:color="auto"/>
        <w:left w:val="none" w:sz="0" w:space="0" w:color="auto"/>
        <w:bottom w:val="none" w:sz="0" w:space="0" w:color="auto"/>
        <w:right w:val="none" w:sz="0" w:space="0" w:color="auto"/>
      </w:divBdr>
    </w:div>
    <w:div w:id="155850114">
      <w:bodyDiv w:val="1"/>
      <w:marLeft w:val="0"/>
      <w:marRight w:val="0"/>
      <w:marTop w:val="0"/>
      <w:marBottom w:val="0"/>
      <w:divBdr>
        <w:top w:val="none" w:sz="0" w:space="0" w:color="auto"/>
        <w:left w:val="none" w:sz="0" w:space="0" w:color="auto"/>
        <w:bottom w:val="none" w:sz="0" w:space="0" w:color="auto"/>
        <w:right w:val="none" w:sz="0" w:space="0" w:color="auto"/>
      </w:divBdr>
    </w:div>
    <w:div w:id="723915003">
      <w:bodyDiv w:val="1"/>
      <w:marLeft w:val="0"/>
      <w:marRight w:val="0"/>
      <w:marTop w:val="0"/>
      <w:marBottom w:val="0"/>
      <w:divBdr>
        <w:top w:val="none" w:sz="0" w:space="0" w:color="auto"/>
        <w:left w:val="none" w:sz="0" w:space="0" w:color="auto"/>
        <w:bottom w:val="none" w:sz="0" w:space="0" w:color="auto"/>
        <w:right w:val="none" w:sz="0" w:space="0" w:color="auto"/>
      </w:divBdr>
    </w:div>
    <w:div w:id="886337335">
      <w:bodyDiv w:val="1"/>
      <w:marLeft w:val="0"/>
      <w:marRight w:val="0"/>
      <w:marTop w:val="0"/>
      <w:marBottom w:val="0"/>
      <w:divBdr>
        <w:top w:val="none" w:sz="0" w:space="0" w:color="auto"/>
        <w:left w:val="none" w:sz="0" w:space="0" w:color="auto"/>
        <w:bottom w:val="none" w:sz="0" w:space="0" w:color="auto"/>
        <w:right w:val="none" w:sz="0" w:space="0" w:color="auto"/>
      </w:divBdr>
    </w:div>
    <w:div w:id="1590773902">
      <w:bodyDiv w:val="1"/>
      <w:marLeft w:val="0"/>
      <w:marRight w:val="0"/>
      <w:marTop w:val="0"/>
      <w:marBottom w:val="0"/>
      <w:divBdr>
        <w:top w:val="none" w:sz="0" w:space="0" w:color="auto"/>
        <w:left w:val="none" w:sz="0" w:space="0" w:color="auto"/>
        <w:bottom w:val="none" w:sz="0" w:space="0" w:color="auto"/>
        <w:right w:val="none" w:sz="0" w:space="0" w:color="auto"/>
      </w:divBdr>
    </w:div>
    <w:div w:id="1656907433">
      <w:bodyDiv w:val="1"/>
      <w:marLeft w:val="0"/>
      <w:marRight w:val="0"/>
      <w:marTop w:val="0"/>
      <w:marBottom w:val="0"/>
      <w:divBdr>
        <w:top w:val="none" w:sz="0" w:space="0" w:color="auto"/>
        <w:left w:val="none" w:sz="0" w:space="0" w:color="auto"/>
        <w:bottom w:val="none" w:sz="0" w:space="0" w:color="auto"/>
        <w:right w:val="none" w:sz="0" w:space="0" w:color="auto"/>
      </w:divBdr>
    </w:div>
    <w:div w:id="1662462743">
      <w:bodyDiv w:val="1"/>
      <w:marLeft w:val="0"/>
      <w:marRight w:val="0"/>
      <w:marTop w:val="0"/>
      <w:marBottom w:val="0"/>
      <w:divBdr>
        <w:top w:val="none" w:sz="0" w:space="0" w:color="auto"/>
        <w:left w:val="none" w:sz="0" w:space="0" w:color="auto"/>
        <w:bottom w:val="none" w:sz="0" w:space="0" w:color="auto"/>
        <w:right w:val="none" w:sz="0" w:space="0" w:color="auto"/>
      </w:divBdr>
    </w:div>
    <w:div w:id="1944993837">
      <w:bodyDiv w:val="1"/>
      <w:marLeft w:val="0"/>
      <w:marRight w:val="0"/>
      <w:marTop w:val="0"/>
      <w:marBottom w:val="0"/>
      <w:divBdr>
        <w:top w:val="none" w:sz="0" w:space="0" w:color="auto"/>
        <w:left w:val="none" w:sz="0" w:space="0" w:color="auto"/>
        <w:bottom w:val="none" w:sz="0" w:space="0" w:color="auto"/>
        <w:right w:val="none" w:sz="0" w:space="0" w:color="auto"/>
      </w:divBdr>
    </w:div>
    <w:div w:id="1946645934">
      <w:bodyDiv w:val="1"/>
      <w:marLeft w:val="0"/>
      <w:marRight w:val="0"/>
      <w:marTop w:val="0"/>
      <w:marBottom w:val="0"/>
      <w:divBdr>
        <w:top w:val="none" w:sz="0" w:space="0" w:color="auto"/>
        <w:left w:val="none" w:sz="0" w:space="0" w:color="auto"/>
        <w:bottom w:val="none" w:sz="0" w:space="0" w:color="auto"/>
        <w:right w:val="none" w:sz="0" w:space="0" w:color="auto"/>
      </w:divBdr>
    </w:div>
    <w:div w:id="207153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a.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eqa-file\EQA_share\ALAPOK\_KID\eqa.h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 TargetMode="External"/><Relationship Id="rId5" Type="http://schemas.openxmlformats.org/officeDocument/2006/relationships/footnotes" Target="footnotes.xml"/><Relationship Id="rId10" Type="http://schemas.openxmlformats.org/officeDocument/2006/relationships/hyperlink" Target="https://www.eqa.hu/panaszkeze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2CC04-B7FC-4B59-8AE1-7217C61E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2261</Words>
  <Characters>15018</Characters>
  <Application>Microsoft Office Word</Application>
  <DocSecurity>0</DocSecurity>
  <Lines>125</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2023-09-15T14:01:00Z</dcterms:created>
  <dcterms:modified xsi:type="dcterms:W3CDTF">2023-09-18T12:56:00Z</dcterms:modified>
</cp:coreProperties>
</file>